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footer1.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5.xml" ContentType="application/vnd.openxmlformats-officedocument.wordprocessingml.footer+xml"/>
  <Override PartName="/word/footer2.xml" ContentType="application/vnd.openxmlformats-officedocument.wordprocessingml.footer+xml"/>
  <Override PartName="/word/styles.xml" ContentType="application/vnd.openxmlformats-officedocument.wordprocessingml.styles+xml"/>
  <Override PartName="/word/header4.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media/image13.wmf" ContentType="image/x-wmf"/>
  <Override PartName="/word/media/image12.wmf" ContentType="image/x-wmf"/>
  <Override PartName="/word/media/image11.wmf" ContentType="image/x-wmf"/>
  <Override PartName="/word/media/image10.wmf" ContentType="image/x-wmf"/>
  <Override PartName="/word/media/image9.wmf" ContentType="image/x-wmf"/>
  <Override PartName="/word/media/image8.wmf" ContentType="image/x-wmf"/>
  <Override PartName="/word/media/image17.wmf" ContentType="image/x-wmf"/>
  <Override PartName="/word/media/image5.wmf" ContentType="image/x-wmf"/>
  <Override PartName="/word/media/image18.wmf" ContentType="image/x-wmf"/>
  <Override PartName="/word/media/image6.wmf" ContentType="image/x-wmf"/>
  <Override PartName="/word/media/image19.wmf" ContentType="image/x-wmf"/>
  <Override PartName="/word/media/image7.wmf" ContentType="image/x-wmf"/>
  <Override PartName="/word/media/image20.wmf" ContentType="image/x-wmf"/>
  <Override PartName="/word/media/image22.wmf" ContentType="image/x-wmf"/>
  <Override PartName="/word/media/image21.wmf" ContentType="image/x-wmf"/>
  <Override PartName="/word/media/image4.wmf" ContentType="image/x-wmf"/>
  <Override PartName="/word/media/image16.wmf" ContentType="image/x-wmf"/>
  <Override PartName="/word/media/image15.wmf" ContentType="image/x-wmf"/>
  <Override PartName="/word/media/image1.png" ContentType="image/png"/>
  <Override PartName="/word/media/image3.wmf" ContentType="image/x-wmf"/>
  <Override PartName="/word/media/image2.wmf" ContentType="image/x-wmf"/>
  <Override PartName="/word/media/image14.wmf" ContentType="image/x-wmf"/>
  <Override PartName="/word/fontTable.xml" ContentType="application/vnd.openxmlformats-officedocument.wordprocessingml.fontTable+xml"/>
  <Override PartName="/word/footer4.xml" ContentType="application/vnd.openxmlformats-officedocument.wordprocessingml.foot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3148" w:leader="none"/>
          <w:tab w:val="center" w:pos="4818" w:leader="none"/>
          <w:tab w:val="left" w:pos="6926" w:leader="none"/>
        </w:tabs>
        <w:spacing w:lineRule="auto" w:line="240"/>
        <w:ind w:hanging="0"/>
        <w:jc w:val="left"/>
        <w:rPr>
          <w:b/>
          <w:bCs/>
          <w:color w:val="000000"/>
          <w:sz w:val="24"/>
          <w:szCs w:val="24"/>
        </w:rPr>
      </w:pPr>
      <w:r>
        <w:rPr>
          <w:b/>
          <w:bCs/>
          <w:color w:val="000000"/>
          <w:sz w:val="24"/>
          <w:szCs w:val="24"/>
        </w:rPr>
      </w:r>
    </w:p>
    <w:p>
      <w:pPr>
        <w:pStyle w:val="Normal"/>
        <w:shd w:val="clear" w:color="auto" w:fill="FFFFFF"/>
        <w:tabs>
          <w:tab w:val="clear" w:pos="709"/>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9"/>
          <w:tab w:val="right" w:pos="993" w:leader="none"/>
        </w:tabs>
        <w:spacing w:lineRule="auto" w:line="240"/>
        <w:ind w:hanging="0"/>
        <w:rPr>
          <w:bCs/>
          <w:color w:val="000000"/>
          <w:sz w:val="24"/>
          <w:szCs w:val="24"/>
        </w:rPr>
      </w:pPr>
      <w:r>
        <w:rPr>
          <w:bCs/>
          <w:color w:val="000000"/>
          <w:sz w:val="24"/>
          <w:szCs w:val="24"/>
        </w:rPr>
        <w:t>г. Железноводск</w:t>
        <w:tab/>
        <w:t xml:space="preserve">                          </w:t>
        <w:tab/>
        <w:tab/>
        <w:tab/>
        <w:t xml:space="preserve">                        «___» _________ 2026 г.</w:t>
      </w:r>
    </w:p>
    <w:p>
      <w:pPr>
        <w:pStyle w:val="Normal"/>
        <w:shd w:val="clear" w:color="auto" w:fill="FFFFFF"/>
        <w:tabs>
          <w:tab w:val="clear" w:pos="709"/>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bCs/>
          <w:color w:val="auto"/>
        </w:rPr>
        <w:t>Общество с ограниченной ответственностью «Малые ГЭС Ставрополья и Карачаево-Черкесcии»</w:t>
      </w:r>
      <w:r>
        <w:rPr>
          <w:color w:val="auto"/>
        </w:rPr>
        <w:t xml:space="preserve"> (ООО «МГЭС Ставрополья и КЧР») (далее – «Заказчик»), в лице исполнительного директора </w:t>
      </w:r>
      <w:r>
        <w:rPr>
          <w:color w:val="auto"/>
        </w:rPr>
        <w:t>___________</w:t>
      </w:r>
      <w:r>
        <w:rPr>
          <w:color w:val="auto"/>
        </w:rPr>
        <w:t xml:space="preserve">, действующего на основании </w:t>
      </w:r>
      <w:r>
        <w:rPr>
          <w:color w:val="auto"/>
        </w:rPr>
        <w:t>_____________</w:t>
      </w:r>
      <w:r>
        <w:rPr>
          <w:color w:val="auto"/>
        </w:rPr>
        <w:t xml:space="preserve">,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auto"/>
          <w:lang w:val="ru-RU"/>
        </w:rPr>
      </w:pPr>
      <w:r>
        <w:rPr>
          <w:color w:val="auto"/>
        </w:rPr>
        <w:t xml:space="preserve">совместно в дальнейшем именуемые «Стороны», а по отдельности – «Сторона», </w:t>
      </w:r>
      <w:r>
        <w:rPr>
          <w:color w:val="auto"/>
          <w:lang w:val="ru-RU"/>
        </w:rPr>
        <w:br/>
      </w:r>
      <w:r>
        <w:rPr>
          <w:color w:val="000000"/>
          <w:shd w:fill="auto" w:val="clear"/>
        </w:rPr>
        <w:t>по результатам проведенной Заказчиком конкурентной процедуры по лоту №_________</w:t>
      </w:r>
      <w:r>
        <w:rPr>
          <w:bCs/>
          <w:color w:val="000000"/>
          <w:shd w:fill="auto" w:val="clear"/>
        </w:rPr>
        <w:t>,</w:t>
      </w:r>
      <w:r>
        <w:rPr>
          <w:shd w:fill="auto" w:val="clear"/>
        </w:rPr>
        <w:t xml:space="preserve"> </w:t>
      </w:r>
      <w:r>
        <w:rPr>
          <w:shd w:fill="auto" w:val="clear"/>
          <w:lang w:val="ru-RU"/>
        </w:rPr>
        <w:br/>
      </w:r>
      <w:r>
        <w:rPr>
          <w:color w:val="000000"/>
          <w:shd w:fill="auto" w:val="clear"/>
          <w:lang w:val="ru-RU"/>
        </w:rPr>
        <w:t>и</w:t>
      </w:r>
      <w:r>
        <w:rPr>
          <w:shd w:fill="auto" w:val="clear"/>
          <w:lang w:val="ru-RU"/>
        </w:rPr>
        <w:t xml:space="preserve"> </w:t>
      </w:r>
      <w:r>
        <w:rPr>
          <w:bCs/>
          <w:color w:val="000000"/>
          <w:shd w:fill="auto" w:val="clear"/>
        </w:rPr>
        <w:t xml:space="preserve">на основании </w:t>
      </w:r>
      <w:r>
        <w:rPr>
          <w:bCs/>
          <w:color w:val="000000"/>
          <w:shd w:fill="auto" w:val="clear"/>
          <w:lang w:val="ru-RU"/>
        </w:rPr>
        <w:t>п</w:t>
      </w:r>
      <w:r>
        <w:rPr>
          <w:bCs/>
          <w:color w:val="000000"/>
          <w:shd w:fill="auto" w:val="clear"/>
        </w:rPr>
        <w:t xml:space="preserve">ротокола </w:t>
      </w:r>
      <w:r>
        <w:rPr>
          <w:bCs/>
          <w:color w:val="000000"/>
          <w:shd w:fill="auto" w:val="clear"/>
          <w:lang w:val="ru-RU"/>
        </w:rPr>
        <w:t>№__________</w:t>
      </w:r>
      <w:r>
        <w:rPr>
          <w:bCs/>
          <w:color w:val="000000"/>
          <w:shd w:fill="auto" w:val="clear"/>
        </w:rPr>
        <w:t xml:space="preserve"> от «___»__________ г</w:t>
      </w:r>
      <w:r>
        <w:rPr>
          <w:bCs/>
          <w:color w:val="000000"/>
          <w:shd w:fill="auto" w:val="clear"/>
          <w:lang w:val="ru-RU"/>
        </w:rPr>
        <w:t>.</w:t>
      </w:r>
      <w:r>
        <w:rPr>
          <w:bCs/>
          <w:color w:val="000000"/>
          <w:shd w:fill="auto" w:val="clear"/>
        </w:rPr>
        <w:t xml:space="preserve"> </w:t>
      </w:r>
      <w:r>
        <w:rPr>
          <w:bCs/>
          <w:color w:val="000000"/>
          <w:shd w:fill="auto" w:val="clear"/>
          <w:lang w:val="ru-RU"/>
        </w:rPr>
        <w:t xml:space="preserve"> </w:t>
      </w:r>
    </w:p>
    <w:p>
      <w:pPr>
        <w:pStyle w:val="BodyText3"/>
        <w:ind w:firstLine="708"/>
        <w:rPr>
          <w:color w:val="auto"/>
          <w:lang w:val="ru-RU"/>
        </w:rPr>
      </w:pPr>
      <w:r>
        <w:rPr>
          <w:color w:val="auto"/>
        </w:rPr>
        <w:t>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shd w:val="clear" w:color="auto" w:fill="FFFFFF"/>
        <w:tabs>
          <w:tab w:val="clear" w:pos="709"/>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bCs/>
          <w:lang w:eastAsia="en-US"/>
        </w:rPr>
        <w:t xml:space="preserve">«Акт о приемке выполненных работ» </w:t>
      </w:r>
      <w:r>
        <w:rPr>
          <w:bCs/>
          <w:lang w:eastAsia="en-US"/>
        </w:rPr>
        <w:t>– документ, оформляемый по форме,  установленной Приложением №9 к Договору.</w:t>
      </w:r>
    </w:p>
    <w:p>
      <w:pPr>
        <w:pStyle w:val="ListParagraph"/>
        <w:ind w:left="0" w:firstLine="708"/>
        <w:jc w:val="both"/>
        <w:rPr>
          <w:lang w:eastAsia="en-US"/>
        </w:rPr>
      </w:pPr>
      <w:r>
        <w:rPr>
          <w:bCs/>
          <w:lang w:eastAsia="en-US"/>
        </w:rPr>
        <w:t>Акт о приемке выполненных работ подписывается Сторонами в целях сдачи-приемки выполненных Работ по завершении выполнения Работ по каждому Этапу Работ, предусмотренному Договором.</w:t>
      </w:r>
    </w:p>
    <w:p>
      <w:pPr>
        <w:pStyle w:val="ListParagraph"/>
        <w:ind w:left="0" w:firstLine="708"/>
        <w:jc w:val="both"/>
        <w:rPr>
          <w:lang w:eastAsia="en-US"/>
        </w:rPr>
      </w:pPr>
      <w:r>
        <w:rPr>
          <w:b/>
          <w:lang w:eastAsia="en-US"/>
        </w:rPr>
        <w:t>«Акт КС-11»</w:t>
      </w:r>
      <w:r>
        <w:rPr>
          <w:lang w:eastAsia="en-US"/>
        </w:rPr>
        <w:t xml:space="preserve"> – документы, оформляемые п</w:t>
      </w:r>
      <w:r>
        <w:rPr>
          <w:shd w:fill="auto" w:val="clear"/>
          <w:lang w:eastAsia="en-US"/>
        </w:rPr>
        <w:t>о унифицированной форме № КС-11 «Акт приемки законченного строительством объекта»,</w:t>
      </w:r>
      <w:r>
        <w:rPr>
          <w:shd w:fill="auto" w:val="clear"/>
        </w:rPr>
        <w:t xml:space="preserve"> утвержденной постановлением </w:t>
      </w:r>
      <w:r>
        <w:rPr>
          <w:shd w:fill="auto" w:val="clear"/>
          <w:lang w:eastAsia="en-US"/>
        </w:rPr>
        <w:t>Госкомстата РФ от 30.10.1997 № 71а, подписываемые Сторонами по окончан</w:t>
      </w:r>
      <w:r>
        <w:rPr>
          <w:lang w:eastAsia="en-US"/>
        </w:rPr>
        <w:t>ии всех Работ, предусмотренных Договором.</w:t>
      </w:r>
    </w:p>
    <w:p>
      <w:pPr>
        <w:pStyle w:val="ListParagraph"/>
        <w:ind w:left="0" w:firstLine="708"/>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по </w:t>
      </w:r>
      <w:r>
        <w:rPr/>
        <w:t xml:space="preserve"> форме, установленной Приложением №8 к Договору, подписываемый Сторонами в целях промежуточного контроля объемов выполнения Работ и осуществления Сторонами расчетов по Договору.</w:t>
      </w:r>
    </w:p>
    <w:p>
      <w:pPr>
        <w:pStyle w:val="ListParagraph"/>
        <w:ind w:left="0" w:firstLine="708"/>
        <w:jc w:val="both"/>
        <w:rPr>
          <w:lang w:eastAsia="en-US"/>
        </w:rPr>
      </w:pPr>
      <w:r>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выполненных Работ (пункт 3 статьи 753Гражданского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lang w:eastAsia="en-US"/>
        </w:rPr>
        <w:t>«Банковская гарантия»</w:t>
      </w:r>
      <w:r>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Pr/>
        <w:t xml:space="preserve"> </w:t>
      </w:r>
      <w:r>
        <w:rPr>
          <w:lang w:eastAsia="en-US"/>
        </w:rPr>
        <w:t>в той мере, в какой указанные правила не противоречат законодательству Российской Федерации и условиям Договора.</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bCs/>
        </w:rPr>
        <w:t>«Ведомость объемов конструктивных решений»</w:t>
      </w:r>
      <w:r>
        <w:rPr/>
        <w:t xml:space="preserve"> – документ, составленный на основании проектной документации, в том числе сметной документации, рабочей документации (при наличии) и предусматривающий детализацию (группировку) по основным конструктивным решениям (элементам), комплексам (видам) работ и определение объемов работ и единиц измерения конструктивных решений (элементов), комплексов (видов) работ. Отдельной строкой (по решению Заказчика) в Ведомости учитывается количество и стоимость оборудования, мебели, инвентаря (далее — оборудование), поставляемых в рамках Договора.</w:t>
      </w:r>
    </w:p>
    <w:p>
      <w:pPr>
        <w:pStyle w:val="ListParagraph"/>
        <w:widowControl w:val="false"/>
        <w:shd w:val="clear" w:color="auto" w:fill="FFFFFF"/>
        <w:tabs>
          <w:tab w:val="clear" w:pos="709"/>
          <w:tab w:val="left" w:pos="567" w:leader="none"/>
          <w:tab w:val="left" w:pos="1134" w:leader="none"/>
        </w:tabs>
        <w:overflowPunct w:val="false"/>
        <w:ind w:left="0" w:firstLine="708"/>
        <w:jc w:val="both"/>
        <w:textAlignment w:val="baseline"/>
        <w:rPr>
          <w:lang w:eastAsia="en-US"/>
        </w:rPr>
      </w:pPr>
      <w:r>
        <w:rPr>
          <w:b/>
          <w:lang w:eastAsia="en-US"/>
        </w:rPr>
        <w:t>«Гарантийный срок»</w:t>
      </w:r>
      <w:r>
        <w:rPr/>
        <w:t xml:space="preserve"> </w:t>
      </w:r>
      <w:r>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w:t>
      </w:r>
      <w:r>
        <w:rPr>
          <w:shd w:fill="auto" w:val="clear"/>
          <w:lang w:eastAsia="en-US"/>
        </w:rPr>
        <w:t xml:space="preserve">ии, Рабочей документации </w:t>
        <w:br/>
        <w:t>и Применимого права, и Подрядчик обязуется устранять все выявленные Заказчиком</w:t>
      </w:r>
      <w:r>
        <w:rPr>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9"/>
          <w:tab w:val="left" w:pos="567" w:leader="none"/>
          <w:tab w:val="left" w:pos="1134" w:leader="none"/>
        </w:tabs>
        <w:overflowPunct w:val="false"/>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9"/>
          <w:tab w:val="left" w:pos="567" w:leader="none"/>
          <w:tab w:val="left" w:pos="1134" w:leader="none"/>
        </w:tabs>
        <w:overflowPunct w:val="false"/>
        <w:ind w:left="0" w:firstLine="708"/>
        <w:jc w:val="both"/>
        <w:textAlignment w:val="baseline"/>
        <w:rPr>
          <w:lang w:eastAsia="en-US"/>
        </w:rPr>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9"/>
          <w:tab w:val="left" w:pos="567" w:leader="none"/>
          <w:tab w:val="left" w:pos="1134" w:leader="none"/>
        </w:tabs>
        <w:overflowPunct w:val="false"/>
        <w:ind w:left="0" w:firstLine="708"/>
        <w:jc w:val="both"/>
        <w:textAlignment w:val="baseline"/>
        <w:rPr>
          <w:lang w:eastAsia="en-US"/>
        </w:rPr>
      </w:pPr>
      <w:r>
        <w:rPr>
          <w:b/>
          <w:lang w:eastAsia="en-US"/>
        </w:rPr>
        <w:t xml:space="preserve"> </w:t>
      </w:r>
      <w:r>
        <w:rPr>
          <w:b/>
          <w:lang w:eastAsia="en-US"/>
        </w:rPr>
        <w:t>«Коммерческая тайна»</w:t>
      </w:r>
      <w:r>
        <w:rPr>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или получить иную коммерческую выгоду.</w:t>
      </w:r>
    </w:p>
    <w:p>
      <w:pPr>
        <w:pStyle w:val="ListParagraph"/>
        <w:widowControl w:val="false"/>
        <w:shd w:val="clear" w:color="auto" w:fill="FFFFFF"/>
        <w:tabs>
          <w:tab w:val="clear" w:pos="709"/>
          <w:tab w:val="left" w:pos="567" w:leader="none"/>
          <w:tab w:val="left" w:pos="1134" w:leader="none"/>
        </w:tabs>
        <w:overflowPunct w:val="false"/>
        <w:ind w:left="0" w:firstLine="708"/>
        <w:jc w:val="both"/>
        <w:textAlignment w:val="baseline"/>
        <w:rPr>
          <w:lang w:eastAsia="en-US"/>
        </w:rPr>
      </w:pPr>
      <w:r>
        <w:rPr>
          <w:b/>
          <w:bCs/>
          <w:lang w:eastAsia="en-US"/>
        </w:rPr>
        <w:t>«Конструктивное решение (элемент), комплекс (вид) работ»</w:t>
      </w:r>
      <w:r>
        <w:rPr>
          <w:lang w:eastAsia="en-US"/>
        </w:rPr>
        <w:t xml:space="preserve"> – технологически </w:t>
      </w:r>
      <w:r>
        <w:rPr/>
        <w:t>законченный элемент, включающий определенные в соответствии с проектной документацией, необходимые для возведения (устройства) объекта комплексы работ (строительные конструкции, в том числе подземная часть, несущие конструкции, наружные стены, полы, внутренние стены, заполнение оконных и дверных проемов, перекрытия, покрытие, кровля, отделочные работы и тому подобное; системы инженерно-технического обеспечения, в том числе водоснабжение, водоотведение, теплоснабжение, газоснабжение, вентиляцию, кондиционирование, электроосвещение, электроснабжение) и работ, связанных между собой и необходимых в соответствии с проектной документацией, рабочей документации (при наличии) для возведения (устройства) технологически законченного конструктивного решения (элемента).</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lang w:eastAsia="en-US"/>
        </w:rPr>
        <w:t xml:space="preserve">«Накладная ТОРГ-12» </w:t>
      </w:r>
      <w:r>
        <w:rPr>
          <w:lang w:eastAsia="en-US"/>
        </w:rPr>
        <w:t>–</w:t>
      </w:r>
      <w:r>
        <w:rPr>
          <w:b/>
          <w:lang w:eastAsia="en-US"/>
        </w:rPr>
        <w:t xml:space="preserve"> </w:t>
      </w:r>
      <w:r>
        <w:rPr>
          <w:lang w:eastAsia="en-US"/>
        </w:rPr>
        <w:t xml:space="preserve">документ, оформляемый по унифицированной форме </w:t>
        <w:br/>
        <w:t xml:space="preserve">№ ТОРГ-12 «Товарная накладна 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bCs/>
          <w:lang w:eastAsia="en-US"/>
        </w:rPr>
        <w:t xml:space="preserve">«Национальный режим» - </w:t>
      </w:r>
      <w:r>
        <w:rPr>
          <w:bCs/>
          <w:lang w:eastAsia="en-US"/>
        </w:rPr>
        <w:t>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lang w:eastAsia="en-US"/>
        </w:rPr>
        <w:t>«Обеспечительный платеж»</w:t>
      </w:r>
      <w:r>
        <w:rPr>
          <w:lang w:eastAsia="en-US"/>
        </w:rPr>
        <w:t xml:space="preserve"> – платеж в размере 10 (десяти) процентов от Цены Договора,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br/>
        <w:t>и Спецификации Оборудования, являющихся приложениями к Договору.</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i/>
          <w:i/>
          <w:lang w:eastAsia="en-US"/>
        </w:rPr>
      </w:pPr>
      <w:r>
        <w:rPr>
          <w:b/>
          <w:lang w:eastAsia="en-US"/>
        </w:rPr>
        <w:t>«Объект»</w:t>
      </w:r>
      <w:r>
        <w:rPr>
          <w:lang w:eastAsia="en-US"/>
        </w:rPr>
        <w:t xml:space="preserve"> – </w:t>
      </w:r>
      <w:r>
        <w:rPr>
          <w:i w:val="false"/>
          <w:iCs w:val="false"/>
          <w:lang w:eastAsia="en-US"/>
        </w:rPr>
        <w:t>Нихалойская ГЭС.</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pPr>
        <w:pStyle w:val="Heading3"/>
        <w:keepNext w:val="false"/>
        <w:widowControl w:val="false"/>
        <w:tabs>
          <w:tab w:val="clear" w:pos="709"/>
          <w:tab w:val="left" w:pos="567" w:leader="none"/>
        </w:tabs>
        <w:overflowPunct w:val="false"/>
        <w:spacing w:before="0" w:after="0"/>
        <w:ind w:firstLine="709"/>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br/>
        <w:t xml:space="preserve">документация в строительстве (МДС), руководящие документы (РД), своды правил </w:t>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br/>
        <w:t>и охраны труда персонала, относящиеся к Работам, включая Оборудование, и Объекту.</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br/>
        <w:t xml:space="preserve">на заключительном этапе выполнения Работ. </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10"/>
        </w:numPr>
        <w:shd w:val="clear" w:color="auto" w:fill="FFFFFF"/>
        <w:tabs>
          <w:tab w:val="clear" w:pos="709"/>
          <w:tab w:val="left" w:pos="567" w:leader="none"/>
          <w:tab w:val="left" w:pos="1134" w:leader="none"/>
        </w:tabs>
        <w:overflowPunct w:val="fals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10"/>
        </w:numPr>
        <w:shd w:val="clear" w:color="auto" w:fill="FFFFFF"/>
        <w:tabs>
          <w:tab w:val="clear" w:pos="709"/>
          <w:tab w:val="left" w:pos="567" w:leader="none"/>
          <w:tab w:val="left" w:pos="1134" w:leader="none"/>
        </w:tabs>
        <w:overflowPunct w:val="fals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10"/>
        </w:numPr>
        <w:shd w:val="clear" w:color="auto" w:fill="FFFFFF"/>
        <w:tabs>
          <w:tab w:val="clear" w:pos="709"/>
          <w:tab w:val="left" w:pos="567" w:leader="none"/>
          <w:tab w:val="left" w:pos="1134" w:leader="none"/>
        </w:tabs>
        <w:overflowPunct w:val="false"/>
        <w:ind w:left="0" w:firstLine="709"/>
        <w:jc w:val="both"/>
        <w:textAlignment w:val="baseline"/>
        <w:rPr>
          <w:lang w:eastAsia="en-US"/>
        </w:rPr>
      </w:pPr>
      <w:r>
        <w:rP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9"/>
          <w:tab w:val="left" w:pos="567" w:leader="none"/>
          <w:tab w:val="left" w:pos="1134" w:leader="none"/>
        </w:tabs>
        <w:overflowPunct w:val="false"/>
        <w:ind w:left="0" w:firstLine="709"/>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9"/>
          <w:tab w:val="left" w:pos="567" w:leader="none"/>
        </w:tabs>
        <w:overflowPunct w:val="false"/>
        <w:spacing w:before="0" w:after="0"/>
        <w:ind w:firstLine="709"/>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объектов капитального строительства. </w:t>
      </w:r>
    </w:p>
    <w:p>
      <w:pPr>
        <w:pStyle w:val="Heading3"/>
        <w:keepNext w:val="false"/>
        <w:widowControl w:val="false"/>
        <w:tabs>
          <w:tab w:val="clear" w:pos="709"/>
          <w:tab w:val="left" w:pos="567" w:leader="none"/>
        </w:tabs>
        <w:overflowPunct w:val="false"/>
        <w:spacing w:before="0" w:after="0"/>
        <w:ind w:firstLine="709"/>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9"/>
          <w:tab w:val="left" w:pos="567" w:leader="none"/>
        </w:tabs>
        <w:overflowPunct w:val="false"/>
        <w:spacing w:before="0" w:after="0"/>
        <w:ind w:firstLine="709"/>
        <w:jc w:val="both"/>
        <w:textAlignment w:val="baseline"/>
        <w:rPr>
          <w:b w:val="false"/>
          <w:sz w:val="24"/>
          <w:szCs w:val="24"/>
          <w:lang w:val="ru-RU" w:eastAsia="en-US"/>
        </w:rPr>
      </w:pPr>
      <w:r>
        <w:rPr>
          <w:b w:val="false"/>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Heading3"/>
        <w:keepNext w:val="false"/>
        <w:widowControl w:val="false"/>
        <w:tabs>
          <w:tab w:val="clear" w:pos="709"/>
          <w:tab w:val="left" w:pos="567" w:leader="none"/>
        </w:tabs>
        <w:overflowPunct w:val="false"/>
        <w:spacing w:before="0" w:after="0"/>
        <w:ind w:firstLine="709"/>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w:t>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w:t>
      </w:r>
      <w:r>
        <w:rPr>
          <w:b w:val="false"/>
          <w:sz w:val="24"/>
          <w:szCs w:val="24"/>
          <w:shd w:fill="auto" w:val="clear"/>
          <w:lang w:val="ru-RU" w:eastAsia="en-US"/>
        </w:rPr>
        <w:t>й, Рабочей документацией</w:t>
      </w:r>
      <w:r>
        <w:rPr>
          <w:b w:val="false"/>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9"/>
          <w:tab w:val="left" w:pos="567" w:leader="none"/>
        </w:tabs>
        <w:spacing w:lineRule="auto" w:line="240"/>
        <w:ind w:firstLine="709"/>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9"/>
          <w:tab w:val="left" w:pos="567" w:leader="none"/>
        </w:tabs>
        <w:spacing w:lineRule="auto" w:line="240"/>
        <w:ind w:firstLine="709"/>
        <w:rPr>
          <w:highlight w:val="none"/>
          <w:shd w:fill="auto" w:val="clear"/>
        </w:rPr>
      </w:pPr>
      <w:r>
        <w:rPr>
          <w:b/>
          <w:sz w:val="24"/>
          <w:szCs w:val="24"/>
          <w:shd w:fill="auto" w:val="clear"/>
          <w:lang w:eastAsia="en-US"/>
        </w:rPr>
        <w:t xml:space="preserve">«Рабочая документация» </w:t>
      </w:r>
      <w:r>
        <w:rPr>
          <w:sz w:val="24"/>
          <w:szCs w:val="24"/>
          <w:shd w:fill="auto" w:val="clear"/>
          <w:lang w:eastAsia="en-US"/>
        </w:rPr>
        <w:t>–</w:t>
      </w:r>
      <w:r>
        <w:rPr>
          <w:b/>
          <w:sz w:val="24"/>
          <w:szCs w:val="24"/>
          <w:shd w:fill="auto" w:val="clear"/>
          <w:lang w:eastAsia="en-US"/>
        </w:rPr>
        <w:t xml:space="preserve"> </w:t>
      </w:r>
      <w:r>
        <w:rPr>
          <w:sz w:val="24"/>
          <w:szCs w:val="24"/>
          <w:shd w:fill="auto" w:val="clear"/>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shd w:fill="auto" w:val="clear"/>
        </w:rPr>
        <w:t xml:space="preserve">одержащая: </w:t>
      </w:r>
    </w:p>
    <w:p>
      <w:pPr>
        <w:pStyle w:val="ListParagraph"/>
        <w:widowControl w:val="false"/>
        <w:numPr>
          <w:ilvl w:val="0"/>
          <w:numId w:val="10"/>
        </w:numPr>
        <w:shd w:val="clear" w:color="auto" w:fill="FFFFFF"/>
        <w:tabs>
          <w:tab w:val="clear" w:pos="709"/>
          <w:tab w:val="left" w:pos="567" w:leader="none"/>
          <w:tab w:val="left" w:pos="1134" w:leader="none"/>
        </w:tabs>
        <w:overflowPunct w:val="false"/>
        <w:ind w:left="0" w:firstLine="709"/>
        <w:jc w:val="both"/>
        <w:textAlignment w:val="baseline"/>
        <w:rPr>
          <w:highlight w:val="none"/>
          <w:shd w:fill="auto" w:val="clear"/>
        </w:rPr>
      </w:pPr>
      <w:r>
        <w:rPr>
          <w:shd w:fill="auto" w:val="clear"/>
          <w:lang w:eastAsia="en-US"/>
        </w:rPr>
        <w:t>рабочие чертежи основного комплекта, спецификации оборудования и изделий;</w:t>
      </w:r>
    </w:p>
    <w:p>
      <w:pPr>
        <w:pStyle w:val="ListParagraph"/>
        <w:widowControl w:val="false"/>
        <w:numPr>
          <w:ilvl w:val="0"/>
          <w:numId w:val="10"/>
        </w:numPr>
        <w:shd w:val="clear" w:color="auto" w:fill="FFFFFF"/>
        <w:tabs>
          <w:tab w:val="clear" w:pos="709"/>
          <w:tab w:val="left" w:pos="567" w:leader="none"/>
          <w:tab w:val="left" w:pos="1134" w:leader="none"/>
        </w:tabs>
        <w:overflowPunct w:val="false"/>
        <w:ind w:left="0" w:firstLine="709"/>
        <w:jc w:val="both"/>
        <w:textAlignment w:val="baseline"/>
        <w:rPr>
          <w:highlight w:val="none"/>
          <w:shd w:fill="auto" w:val="clear"/>
        </w:rPr>
      </w:pPr>
      <w:r>
        <w:rPr>
          <w:shd w:fill="auto" w:val="clear"/>
          <w:lang w:eastAsia="en-US"/>
        </w:rPr>
        <w:t>документы, разработанные в дополнение к рабочим чертежам основного комплекта;</w:t>
      </w:r>
    </w:p>
    <w:p>
      <w:pPr>
        <w:pStyle w:val="ListParagraph"/>
        <w:widowControl w:val="false"/>
        <w:numPr>
          <w:ilvl w:val="0"/>
          <w:numId w:val="10"/>
        </w:numPr>
        <w:shd w:val="clear" w:color="auto" w:fill="FFFFFF"/>
        <w:tabs>
          <w:tab w:val="clear" w:pos="709"/>
          <w:tab w:val="left" w:pos="567" w:leader="none"/>
          <w:tab w:val="left" w:pos="1134" w:leader="none"/>
        </w:tabs>
        <w:overflowPunct w:val="false"/>
        <w:ind w:left="0" w:firstLine="709"/>
        <w:jc w:val="both"/>
        <w:textAlignment w:val="baseline"/>
        <w:rPr>
          <w:highlight w:val="none"/>
          <w:shd w:fill="auto" w:val="clear"/>
        </w:rPr>
      </w:pPr>
      <w:r>
        <w:rPr>
          <w:shd w:fill="auto" w:val="clear"/>
          <w:lang w:eastAsia="en-US"/>
        </w:rPr>
        <w:t xml:space="preserve">сметную документацию, определяющую полную стоимость Работ по Рабочей документации. </w:t>
      </w:r>
    </w:p>
    <w:p>
      <w:pPr>
        <w:pStyle w:val="Normal"/>
        <w:widowControl w:val="false"/>
        <w:tabs>
          <w:tab w:val="clear" w:pos="709"/>
          <w:tab w:val="left" w:pos="567" w:leader="none"/>
        </w:tabs>
        <w:spacing w:lineRule="auto" w:line="240"/>
        <w:ind w:firstLine="709"/>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9"/>
          <w:tab w:val="left" w:pos="567" w:leader="none"/>
        </w:tabs>
        <w:overflowPunct w:val="false"/>
        <w:spacing w:before="0" w:after="0"/>
        <w:ind w:firstLine="709"/>
        <w:jc w:val="both"/>
        <w:textAlignment w:val="baseline"/>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и последующего ввода в эксплуатацию Объекта. </w:t>
      </w:r>
    </w:p>
    <w:p>
      <w:pPr>
        <w:pStyle w:val="Heading3"/>
        <w:keepNext w:val="false"/>
        <w:widowControl w:val="false"/>
        <w:tabs>
          <w:tab w:val="clear" w:pos="709"/>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w:t>
        <w:br/>
        <w:t xml:space="preserve">в Гарантийную эксплуатацию по Акту КС-11, соответствующий требованиям, изложенным </w:t>
        <w:br/>
        <w:t>в Техническом задании (Приложение № 1 к Договору).</w:t>
      </w:r>
    </w:p>
    <w:p>
      <w:pPr>
        <w:pStyle w:val="Heading3"/>
        <w:keepNext w:val="false"/>
        <w:widowControl w:val="false"/>
        <w:tabs>
          <w:tab w:val="clear" w:pos="709"/>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«Скрытые работы»</w:t>
      </w:r>
      <w:r>
        <w:rPr>
          <w:b w:val="false"/>
          <w:sz w:val="24"/>
          <w:szCs w:val="24"/>
          <w:lang w:val="ru-RU" w:eastAsia="en-US"/>
        </w:rPr>
        <w:t xml:space="preserve"> – </w:t>
      </w:r>
      <w:r>
        <w:rPr>
          <w:b w:val="false"/>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 w:val="false"/>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w:t>
      </w:r>
      <w:r>
        <w:rPr>
          <w:b w:val="false"/>
          <w:bCs/>
          <w:sz w:val="24"/>
          <w:szCs w:val="24"/>
          <w:lang w:val="ru-RU"/>
        </w:rPr>
        <w:t xml:space="preserve"> обеспечения</w:t>
      </w:r>
      <w:r>
        <w:rPr>
          <w:b w:val="false"/>
          <w:sz w:val="24"/>
          <w:szCs w:val="24"/>
          <w:lang w:val="ru-RU" w:eastAsia="en-US"/>
        </w:rPr>
        <w:t xml:space="preserve">. </w:t>
      </w:r>
    </w:p>
    <w:p>
      <w:pPr>
        <w:pStyle w:val="Heading3"/>
        <w:keepNext w:val="false"/>
        <w:widowControl w:val="false"/>
        <w:tabs>
          <w:tab w:val="clear" w:pos="709"/>
          <w:tab w:val="left" w:pos="567" w:leader="none"/>
        </w:tabs>
        <w:overflowPunct w:val="false"/>
        <w:spacing w:before="0" w:after="0"/>
        <w:ind w:firstLine="708"/>
        <w:jc w:val="both"/>
        <w:textAlignment w:val="baseline"/>
        <w:rPr>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приемки ответственных конструкций до их закрытия последующими видами Работ и / или конструкциями.</w:t>
      </w:r>
    </w:p>
    <w:p>
      <w:pPr>
        <w:pStyle w:val="Heading3"/>
        <w:keepNext w:val="false"/>
        <w:widowControl w:val="false"/>
        <w:tabs>
          <w:tab w:val="clear" w:pos="709"/>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расположенном </w:t>
        <w:br/>
        <w:t>по адрес</w:t>
      </w:r>
      <w:r>
        <w:rPr>
          <w:b w:val="false"/>
          <w:sz w:val="24"/>
          <w:szCs w:val="24"/>
          <w:shd w:fill="auto" w:val="clear"/>
          <w:lang w:val="ru-RU" w:eastAsia="en-US"/>
        </w:rPr>
        <w:t>у: Чеченская Республика, Шатойский район, с. Памятой.</w:t>
      </w:r>
    </w:p>
    <w:p>
      <w:pPr>
        <w:pStyle w:val="Normal"/>
        <w:spacing w:lineRule="auto" w:line="240"/>
        <w:ind w:firstLine="708"/>
        <w:rPr>
          <w:sz w:val="24"/>
          <w:szCs w:val="24"/>
          <w:lang w:val="x-none" w:eastAsia="en-US"/>
        </w:rPr>
      </w:pPr>
      <w:r>
        <w:rPr>
          <w:b/>
          <w:sz w:val="24"/>
          <w:szCs w:val="24"/>
          <w:lang w:eastAsia="en-US"/>
        </w:rPr>
        <w:t>«Субъект 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9"/>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br/>
        <w:t>по Договору.</w:t>
      </w:r>
    </w:p>
    <w:p>
      <w:pPr>
        <w:pStyle w:val="Heading3"/>
        <w:keepNext w:val="false"/>
        <w:widowControl w:val="false"/>
        <w:tabs>
          <w:tab w:val="clear" w:pos="709"/>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объем </w:t>
        <w:br/>
        <w:t xml:space="preserve">и состав Работ по Договору, перечень необходимого Оборудования и требования Заказчика </w:t>
        <w:br/>
        <w:t>к выполнению Подрядчиком Работ по Договору в целом.</w:t>
      </w:r>
    </w:p>
    <w:p>
      <w:pPr>
        <w:pStyle w:val="Heading3"/>
        <w:keepNext w:val="false"/>
        <w:widowControl w:val="false"/>
        <w:numPr>
          <w:ilvl w:val="0"/>
        </w:numPr>
        <w:tabs>
          <w:tab w:val="clear" w:pos="709"/>
          <w:tab w:val="left" w:pos="567" w:leader="none"/>
        </w:tabs>
        <w:overflowPunct w:val="false"/>
        <w:spacing w:before="0" w:after="0"/>
        <w:ind w:left="0" w:right="0" w:firstLine="708"/>
        <w:jc w:val="both"/>
        <w:textAlignment w:val="baseline"/>
        <w:rPr>
          <w:shd w:fill="auto" w:val="clear"/>
        </w:rPr>
      </w:pPr>
      <w:r>
        <w:rPr>
          <w:rFonts w:eastAsia="Times New Roman" w:cs="Times New Roman"/>
          <w:b/>
          <w:color w:val="000000"/>
          <w:kern w:val="0"/>
          <w:sz w:val="24"/>
          <w:szCs w:val="24"/>
          <w:shd w:fill="auto" w:val="clear"/>
          <w:lang w:val="ru-RU" w:eastAsia="en-US" w:bidi="ar-SA"/>
        </w:rPr>
        <w:t xml:space="preserve">«Универсальный передаточный документ», «УПД» </w:t>
      </w:r>
      <w:r>
        <w:rPr>
          <w:rFonts w:eastAsia="Times New Roman" w:cs="Times New Roman"/>
          <w:b w:val="false"/>
          <w:color w:val="000000"/>
          <w:kern w:val="0"/>
          <w:sz w:val="24"/>
          <w:szCs w:val="24"/>
          <w:shd w:fill="auto" w:val="clear"/>
          <w:lang w:val="ru-RU" w:eastAsia="en-US" w:bidi="ar-SA"/>
        </w:rPr>
        <w:t>–</w:t>
      </w:r>
      <w:r>
        <w:rPr>
          <w:rFonts w:eastAsia="Times New Roman" w:cs="Times New Roman"/>
          <w:b/>
          <w:color w:val="000000"/>
          <w:kern w:val="0"/>
          <w:sz w:val="24"/>
          <w:szCs w:val="24"/>
          <w:shd w:fill="auto" w:val="clear"/>
          <w:lang w:val="ru-RU" w:eastAsia="en-US" w:bidi="ar-SA"/>
        </w:rPr>
        <w:t xml:space="preserve"> </w:t>
      </w:r>
      <w:r>
        <w:rPr>
          <w:rFonts w:eastAsia="Times New Roman" w:cs="Times New Roman"/>
          <w:b w:val="false"/>
          <w:color w:val="000000"/>
          <w:kern w:val="0"/>
          <w:sz w:val="24"/>
          <w:szCs w:val="24"/>
          <w:shd w:fill="auto" w:val="clear"/>
          <w:lang w:val="ru-RU" w:eastAsia="en-US" w:bidi="ar-SA"/>
        </w:rPr>
        <w:t>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r>
        <w:rPr>
          <w:rFonts w:eastAsia="Times New Roman" w:cs="Times New Roman"/>
          <w:b w:val="false"/>
          <w:bCs w:val="false"/>
          <w:color w:val="000000"/>
          <w:kern w:val="0"/>
          <w:sz w:val="24"/>
          <w:szCs w:val="24"/>
          <w:shd w:fill="auto" w:val="clear"/>
          <w:lang w:val="ru-RU" w:eastAsia="en-US" w:bidi="ar-SA"/>
        </w:rPr>
        <w:t>.</w:t>
      </w:r>
    </w:p>
    <w:p>
      <w:pPr>
        <w:pStyle w:val="Heading3"/>
        <w:widowControl w:val="false"/>
        <w:tabs>
          <w:tab w:val="clear" w:pos="709"/>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9"/>
          <w:tab w:val="left" w:pos="567" w:leader="none"/>
        </w:tabs>
        <w:overflowPunct w:val="false"/>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9"/>
          <w:tab w:val="left" w:pos="567" w:leader="none"/>
        </w:tabs>
        <w:overflowPunct w:val="false"/>
        <w:spacing w:before="0" w:after="0"/>
        <w:ind w:firstLine="708"/>
        <w:jc w:val="both"/>
        <w:textAlignment w:val="baseline"/>
        <w:rPr>
          <w:bCs/>
        </w:rPr>
      </w:pPr>
      <w:r>
        <w:rPr>
          <w:b w:val="false"/>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br/>
        <w:t>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spacing w:lineRule="auto" w:line="240"/>
        <w:rPr>
          <w:lang w:val="x-none" w:eastAsia="x-none"/>
        </w:rPr>
      </w:pPr>
      <w:r>
        <w:rPr>
          <w:lang w:val="x-none" w:eastAsia="x-none"/>
        </w:rPr>
      </w:r>
    </w:p>
    <w:p>
      <w:pPr>
        <w:pStyle w:val="ListParagraph"/>
        <w:numPr>
          <w:ilvl w:val="0"/>
          <w:numId w:val="4"/>
        </w:numPr>
        <w:shd w:val="clear" w:color="auto" w:fill="FFFFFF"/>
        <w:tabs>
          <w:tab w:val="clear" w:pos="709"/>
          <w:tab w:val="left" w:pos="284" w:leader="none"/>
        </w:tabs>
        <w:ind w:left="0" w:hanging="0"/>
        <w:jc w:val="center"/>
        <w:rPr>
          <w:b/>
          <w:bCs/>
        </w:rPr>
      </w:pPr>
      <w:r>
        <w:rPr>
          <w:b/>
          <w:bCs/>
        </w:rPr>
        <w:t>Предмет Договора</w:t>
      </w:r>
    </w:p>
    <w:p>
      <w:pPr>
        <w:pStyle w:val="ListParagraph"/>
        <w:numPr>
          <w:ilvl w:val="1"/>
          <w:numId w:val="4"/>
        </w:numPr>
        <w:shd w:val="clear" w:color="auto" w:fill="FFFFFF"/>
        <w:tabs>
          <w:tab w:val="clear" w:pos="709"/>
          <w:tab w:val="left" w:pos="1134" w:leader="none"/>
        </w:tabs>
        <w:ind w:left="0" w:firstLine="709"/>
        <w:jc w:val="both"/>
        <w:rPr>
          <w:bCs/>
        </w:rPr>
      </w:pPr>
      <w:bookmarkStart w:id="0" w:name="_Ref361410951"/>
      <w:r>
        <w:rPr>
          <w:bCs/>
        </w:rPr>
        <w:t xml:space="preserve">Подрядчик обязуется по заданию Заказчика в соответствии с Техническим заданием (Приложение № 1 к Договору) выполнить </w:t>
      </w:r>
      <w:r>
        <w:rPr>
          <w:rFonts w:eastAsia="Times New Roman" w:cs="Times New Roman"/>
          <w:bCs/>
          <w:color w:val="auto"/>
          <w:kern w:val="0"/>
          <w:sz w:val="24"/>
          <w:szCs w:val="24"/>
          <w:lang w:val="ru-RU" w:eastAsia="ru-RU" w:bidi="ar-SA"/>
        </w:rPr>
        <w:t>изготовление</w:t>
      </w:r>
      <w:r>
        <w:rPr>
          <w:rFonts w:eastAsia="Times New Roman" w:cs="Times New Roman"/>
          <w:bCs/>
          <w:color w:val="000000"/>
          <w:kern w:val="0"/>
          <w:sz w:val="24"/>
          <w:szCs w:val="24"/>
          <w:shd w:fill="auto" w:val="clear"/>
          <w:lang w:val="ru-RU" w:eastAsia="ru-RU" w:bidi="ar-SA"/>
        </w:rPr>
        <w:t xml:space="preserve">, поставку и монтаж металлоконструкций забральной балки на технологической площадке в русле реки Аргун, в рамках реализации проекта «Нихалойская ГЭС» на территории Чеченской Республики </w:t>
      </w:r>
      <w:r>
        <w:rPr>
          <w:bCs/>
          <w:shd w:fill="auto" w:val="clear"/>
        </w:rPr>
        <w:t xml:space="preserve">(далее по тексту – «Работы»), в том числе осуществить </w:t>
      </w:r>
      <w:r>
        <w:rPr>
          <w:rFonts w:eastAsia="Times New Roman" w:cs="Times New Roman"/>
          <w:bCs/>
          <w:color w:val="000000"/>
          <w:shd w:fill="auto" w:val="clear"/>
          <w:lang w:val="ru-RU" w:eastAsia="ru-RU" w:bidi="ar-SA"/>
        </w:rPr>
        <w:t>поставку Оборудования</w:t>
      </w:r>
      <w:r>
        <w:rPr>
          <w:bCs/>
          <w:shd w:fill="auto" w:val="clear"/>
        </w:rPr>
        <w:t xml:space="preserve"> </w:t>
      </w:r>
      <w:r>
        <w:rPr>
          <w:bCs/>
        </w:rPr>
        <w:t>согласно Спецификации Оборудования (Приложение № 2 к Договору), а также сдать Результат Работ Заказчику, а Заказчик обязуется осуществить приемку поставленного Подрядчиком Оборудования, создать Подрядчику указанные в Договоре условия для выполнения Работ, принять Резу</w:t>
      </w:r>
      <w:r>
        <w:rPr>
          <w:bCs/>
          <w:shd w:fill="auto" w:val="clear"/>
        </w:rPr>
        <w:t>льтат Работ и уплатить Цену Договора.</w:t>
      </w:r>
      <w:bookmarkEnd w:id="0"/>
    </w:p>
    <w:p>
      <w:pPr>
        <w:pStyle w:val="ListParagraph"/>
        <w:numPr>
          <w:ilvl w:val="1"/>
          <w:numId w:val="4"/>
        </w:numPr>
        <w:shd w:val="clear" w:color="auto" w:fill="FFFFFF"/>
        <w:tabs>
          <w:tab w:val="clear" w:pos="709"/>
          <w:tab w:val="left" w:pos="1134" w:leader="none"/>
        </w:tabs>
        <w:ind w:left="0" w:firstLine="709"/>
        <w:jc w:val="both"/>
        <w:rPr>
          <w:highlight w:val="none"/>
          <w:shd w:fill="auto" w:val="clear"/>
        </w:rPr>
      </w:pPr>
      <w:r>
        <w:rPr>
          <w:bCs/>
          <w:shd w:fill="auto" w:val="clear"/>
        </w:rPr>
        <w:t>В состав Работ по Договору входят:</w:t>
      </w:r>
    </w:p>
    <w:p>
      <w:pPr>
        <w:pStyle w:val="ListParagraph"/>
        <w:numPr>
          <w:ilvl w:val="2"/>
          <w:numId w:val="4"/>
        </w:numPr>
        <w:shd w:val="clear" w:color="auto" w:fill="FFFFFF"/>
        <w:tabs>
          <w:tab w:val="clear" w:pos="709"/>
          <w:tab w:val="left" w:pos="1418" w:leader="none"/>
        </w:tabs>
        <w:ind w:left="0" w:firstLine="709"/>
        <w:jc w:val="both"/>
        <w:rPr>
          <w:highlight w:val="none"/>
          <w:shd w:fill="auto" w:val="clear"/>
        </w:rPr>
      </w:pPr>
      <w:r>
        <w:rPr>
          <w:bCs/>
          <w:shd w:fill="auto" w:val="clear"/>
        </w:rPr>
        <w:t>Изготовление и Поставка Оборудования;</w:t>
      </w:r>
    </w:p>
    <w:p>
      <w:pPr>
        <w:pStyle w:val="ListParagraph"/>
        <w:numPr>
          <w:ilvl w:val="2"/>
          <w:numId w:val="4"/>
        </w:numPr>
        <w:shd w:val="clear" w:color="auto" w:fill="FFFFFF"/>
        <w:tabs>
          <w:tab w:val="clear" w:pos="709"/>
          <w:tab w:val="left" w:pos="1418" w:leader="none"/>
        </w:tabs>
        <w:ind w:left="0" w:firstLine="709"/>
        <w:jc w:val="both"/>
        <w:rPr>
          <w:highlight w:val="none"/>
          <w:shd w:fill="auto" w:val="clear"/>
        </w:rPr>
      </w:pPr>
      <w:r>
        <w:rPr>
          <w:bCs/>
          <w:shd w:fill="auto" w:val="clear"/>
        </w:rPr>
        <w:t>Строительно-монтажные работы;</w:t>
      </w:r>
    </w:p>
    <w:p>
      <w:pPr>
        <w:pStyle w:val="ListParagraph"/>
        <w:numPr>
          <w:ilvl w:val="1"/>
          <w:numId w:val="4"/>
        </w:numPr>
        <w:shd w:val="clear" w:color="auto" w:fill="FFFFFF"/>
        <w:tabs>
          <w:tab w:val="clear" w:pos="709"/>
          <w:tab w:val="left" w:pos="1134" w:leader="none"/>
        </w:tabs>
        <w:ind w:left="0" w:firstLine="709"/>
        <w:jc w:val="both"/>
        <w:rPr>
          <w:bCs/>
        </w:rPr>
      </w:pPr>
      <w:r>
        <w:rPr>
          <w:bCs/>
          <w:shd w:fill="auto" w:val="clear"/>
        </w:rPr>
        <w:t>Объем и состав Работ по Договору определяется Техническим заданием (Приложение № 1 к Договору</w:t>
      </w:r>
      <w:r>
        <w:rPr>
          <w:bCs/>
        </w:rPr>
        <w:t xml:space="preserve">). Работы по Договору подлежат выполнению Подрядчиком </w:t>
        <w:br/>
        <w:t xml:space="preserve">в строгом соответствии с </w:t>
      </w:r>
      <w:r>
        <w:rPr>
          <w:bCs/>
          <w:shd w:fill="auto" w:val="clear"/>
        </w:rPr>
        <w:t>Проектной и Рабочей документацией, требованиями Применимого права и указаниями Заказчика.</w:t>
      </w:r>
    </w:p>
    <w:p>
      <w:pPr>
        <w:pStyle w:val="ListParagraph"/>
        <w:numPr>
          <w:ilvl w:val="1"/>
          <w:numId w:val="4"/>
        </w:numPr>
        <w:shd w:val="clear" w:color="auto" w:fill="FFFFFF"/>
        <w:tabs>
          <w:tab w:val="clear" w:pos="709"/>
          <w:tab w:val="left" w:pos="1134" w:leader="none"/>
        </w:tabs>
        <w:ind w:left="0" w:firstLine="709"/>
        <w:jc w:val="both"/>
        <w:rPr>
          <w:highlight w:val="none"/>
          <w:shd w:fill="auto" w:val="clear"/>
        </w:rPr>
      </w:pPr>
      <w:r>
        <w:rPr>
          <w:bCs/>
          <w:shd w:fill="auto" w:val="clear"/>
        </w:rPr>
        <w:t xml:space="preserve">Работы по Договору выполняются для нужд ООО «МГЭС Ставрополья и КЧР». </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Место выполнения Работ и Место поставки Оборудования: </w:t>
      </w:r>
      <w:r>
        <w:rPr>
          <w:b w:val="false"/>
          <w:bCs/>
          <w:sz w:val="24"/>
          <w:szCs w:val="24"/>
          <w:shd w:fill="auto" w:val="clear"/>
          <w:lang w:val="ru-RU" w:eastAsia="en-US"/>
        </w:rPr>
        <w:t>Чеченская Республика, Шатойский район, с. Памятой.</w:t>
      </w:r>
    </w:p>
    <w:p>
      <w:pPr>
        <w:pStyle w:val="ListParagraph"/>
        <w:numPr>
          <w:ilvl w:val="1"/>
          <w:numId w:val="4"/>
        </w:numPr>
        <w:shd w:val="clear" w:color="auto" w:fill="FFFFFF"/>
        <w:tabs>
          <w:tab w:val="clear" w:pos="709"/>
          <w:tab w:val="left" w:pos="1134" w:leader="none"/>
        </w:tabs>
        <w:ind w:left="0" w:firstLine="709"/>
        <w:jc w:val="both"/>
        <w:rPr>
          <w:bCs/>
        </w:rPr>
      </w:pPr>
      <w:bookmarkStart w:id="1" w:name="_Ref361320424"/>
      <w:r>
        <w:rPr>
          <w:bCs/>
        </w:rPr>
        <w:t>Работы выполняются Подрядчиком в следующие сроки:</w:t>
      </w:r>
      <w:bookmarkEnd w:id="1"/>
    </w:p>
    <w:p>
      <w:pPr>
        <w:pStyle w:val="ListParagraph"/>
        <w:numPr>
          <w:ilvl w:val="2"/>
          <w:numId w:val="4"/>
        </w:numPr>
        <w:shd w:val="clear" w:color="auto" w:fill="FFFFFF"/>
        <w:tabs>
          <w:tab w:val="clear" w:pos="709"/>
          <w:tab w:val="left" w:pos="1418" w:leader="none"/>
        </w:tabs>
        <w:ind w:left="0" w:firstLine="709"/>
        <w:jc w:val="both"/>
        <w:rPr/>
      </w:pPr>
      <w:r>
        <w:rPr>
          <w:bCs/>
        </w:rPr>
        <w:t>начало выполнения Работ:</w:t>
      </w:r>
      <w:r>
        <w:rPr>
          <w:bCs/>
          <w:shd w:fill="auto" w:val="clear"/>
        </w:rPr>
        <w:t xml:space="preserve"> </w:t>
      </w:r>
      <w:r>
        <w:rPr>
          <w:shd w:fill="auto" w:val="clear"/>
        </w:rPr>
        <w:t>с даты заключения Договора;</w:t>
      </w:r>
    </w:p>
    <w:p>
      <w:pPr>
        <w:pStyle w:val="ListParagraph"/>
        <w:numPr>
          <w:ilvl w:val="2"/>
          <w:numId w:val="4"/>
        </w:numPr>
        <w:shd w:val="clear" w:color="auto" w:fill="FFFFFF"/>
        <w:tabs>
          <w:tab w:val="clear" w:pos="709"/>
          <w:tab w:val="left" w:pos="1418" w:leader="none"/>
        </w:tabs>
        <w:ind w:left="0" w:firstLine="709"/>
        <w:jc w:val="both"/>
        <w:rPr>
          <w:highlight w:val="none"/>
          <w:shd w:fill="auto" w:val="clear"/>
        </w:rPr>
      </w:pPr>
      <w:r>
        <w:rPr>
          <w:bCs/>
          <w:shd w:fill="auto" w:val="clear"/>
        </w:rPr>
        <w:t xml:space="preserve">окончание выполнения Работ: </w:t>
      </w:r>
      <w:r>
        <w:rPr>
          <w:shd w:fill="auto" w:val="clear"/>
        </w:rPr>
        <w:t>не позднее 30.11.2026.</w:t>
      </w:r>
    </w:p>
    <w:p>
      <w:pPr>
        <w:pStyle w:val="ListParagraph"/>
        <w:numPr>
          <w:ilvl w:val="1"/>
          <w:numId w:val="4"/>
        </w:numPr>
        <w:shd w:val="clear" w:color="auto" w:fill="FFFFFF"/>
        <w:tabs>
          <w:tab w:val="clear" w:pos="709"/>
          <w:tab w:val="left" w:pos="1134" w:leader="none"/>
        </w:tabs>
        <w:ind w:left="0" w:firstLine="709"/>
        <w:jc w:val="both"/>
        <w:rPr>
          <w:bCs/>
        </w:rPr>
      </w:pPr>
      <w:r>
        <w:rPr>
          <w:bCs/>
          <w:shd w:fill="auto" w:val="clear"/>
        </w:rPr>
        <w:t>Выполнение Работ осуществляется поэтапно, постав</w:t>
      </w:r>
      <w:r>
        <w:rPr>
          <w:bCs/>
        </w:rPr>
        <w:t xml:space="preserve">ка Оборудования осуществляется Партиями. </w:t>
      </w:r>
      <w:r>
        <w:rPr>
          <w:bCs/>
          <w:lang w:val="en-US"/>
        </w:rPr>
        <w:t>C</w:t>
      </w:r>
      <w:r>
        <w:rPr>
          <w:bCs/>
        </w:rPr>
        <w:t xml:space="preserve">роки выполнения отдельных Этапов Работ и поставки Партий Оборудования определяются Календарным графиком поставки Оборудования и выполнения Работ (Приложение № 3 к Договору) в рамках общих сроков, указанных в пункте 1.6 Договора. </w:t>
      </w:r>
    </w:p>
    <w:p>
      <w:pPr>
        <w:pStyle w:val="ListParagraph"/>
        <w:widowControl/>
        <w:numPr>
          <w:ilvl w:val="0"/>
          <w:numId w:val="0"/>
        </w:numPr>
        <w:shd w:val="clear" w:color="auto" w:fill="FFFFFF"/>
        <w:tabs>
          <w:tab w:val="clear" w:pos="709"/>
          <w:tab w:val="left" w:pos="1134" w:leader="none"/>
        </w:tabs>
        <w:suppressAutoHyphens w:val="true"/>
        <w:bidi w:val="0"/>
        <w:spacing w:lineRule="auto" w:line="240" w:before="0" w:after="0"/>
        <w:ind w:left="0" w:hanging="0"/>
        <w:contextualSpacing/>
        <w:jc w:val="both"/>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Поставка Оборудования</w:t>
      </w:r>
    </w:p>
    <w:p>
      <w:pPr>
        <w:pStyle w:val="ListParagraph"/>
        <w:numPr>
          <w:ilvl w:val="1"/>
          <w:numId w:val="4"/>
        </w:numPr>
        <w:shd w:val="clear" w:color="auto" w:fill="FFFFFF"/>
        <w:tabs>
          <w:tab w:val="clear" w:pos="709"/>
          <w:tab w:val="left" w:pos="1134" w:leader="none"/>
        </w:tabs>
        <w:ind w:left="0" w:firstLine="709"/>
        <w:jc w:val="both"/>
        <w:rPr>
          <w:bCs/>
        </w:rPr>
      </w:pPr>
      <w:r>
        <w:rPr>
          <w:bCs/>
        </w:rPr>
        <w:t>Качество, комплектность, количество и ассортимент поставляемого по Договору Оборудования должны соответствовать Проектно</w:t>
      </w:r>
      <w:r>
        <w:rPr>
          <w:bCs/>
          <w:shd w:fill="auto" w:val="clear"/>
        </w:rPr>
        <w:t>й и Рабочей докуме</w:t>
      </w:r>
      <w:r>
        <w:rPr>
          <w:bCs/>
        </w:rPr>
        <w:t>нтации, требованиям Договора и Заказчика, в том числе, указанным в Спецификации Оборудования (Приложение № 2 к Договору), а также Применимого права.</w:t>
      </w:r>
      <w:bookmarkStart w:id="2" w:name="_Ref361408377"/>
      <w:r>
        <w:rPr>
          <w:bCs/>
        </w:rPr>
        <w:t xml:space="preserve"> </w:t>
      </w:r>
    </w:p>
    <w:p>
      <w:pPr>
        <w:pStyle w:val="Normal"/>
        <w:shd w:val="clear" w:color="auto" w:fill="FFFFFF"/>
        <w:tabs>
          <w:tab w:val="clear" w:pos="709"/>
          <w:tab w:val="left" w:pos="851" w:leader="none"/>
          <w:tab w:val="left" w:pos="1134" w:leader="none"/>
        </w:tabs>
        <w:spacing w:lineRule="auto" w:line="240"/>
        <w:ind w:firstLine="709"/>
        <w:rPr>
          <w:highlight w:val="none"/>
          <w:shd w:fill="auto" w:val="clear"/>
        </w:rPr>
      </w:pPr>
      <w:r>
        <w:rPr>
          <w:bCs/>
          <w:sz w:val="24"/>
          <w:szCs w:val="24"/>
          <w:shd w:fill="auto" w:val="clear"/>
        </w:rPr>
        <w:t>Подрядчик не вправе производить замену Оборудования на иное Оборудование, если это приведет к несоблюдению защитных мер, установленных законодательством о Национальном режиме</w:t>
      </w:r>
      <w:bookmarkStart w:id="3" w:name="_GoBack"/>
      <w:bookmarkEnd w:id="3"/>
      <w:r>
        <w:rPr>
          <w:sz w:val="24"/>
          <w:szCs w:val="24"/>
          <w:shd w:fill="auto" w:val="clear"/>
        </w:rPr>
        <w:t>.</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Поставляемое Оборудование должно быть новым, не бывшим в употреблении, пригодным для использования по своему назначению. Подрядчик гарантирует, </w:t>
        <w:br/>
        <w:t>что Оборудование принадлежит ему на законном основании, в споре, залоге или под арестом не состоит, и не обременено правами третьих лиц.</w:t>
      </w:r>
    </w:p>
    <w:p>
      <w:pPr>
        <w:pStyle w:val="ListParagraph"/>
        <w:numPr>
          <w:ilvl w:val="1"/>
          <w:numId w:val="4"/>
        </w:numPr>
        <w:shd w:val="clear" w:color="auto" w:fill="FFFFFF"/>
        <w:tabs>
          <w:tab w:val="clear" w:pos="709"/>
          <w:tab w:val="left" w:pos="1134" w:leader="none"/>
        </w:tabs>
        <w:ind w:left="0" w:firstLine="709"/>
        <w:jc w:val="both"/>
        <w:rPr>
          <w:bCs/>
        </w:rPr>
      </w:pPr>
      <w:r>
        <w:rPr>
          <w:bCs/>
        </w:rPr>
        <w:t>Одновременно с передачей Оборудования Подрядчик обязан передать Заказчику оригиналы следующих относящихся к нему документов:</w:t>
      </w:r>
      <w:bookmarkEnd w:id="2"/>
      <w:r>
        <w:rPr>
          <w:bCs/>
        </w:rPr>
        <w:t xml:space="preserve"> </w:t>
      </w:r>
    </w:p>
    <w:p>
      <w:pPr>
        <w:pStyle w:val="Normal"/>
        <w:widowControl w:val="false"/>
        <w:numPr>
          <w:ilvl w:val="0"/>
          <w:numId w:val="9"/>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сертификат качес</w:t>
      </w:r>
      <w:r>
        <w:rPr>
          <w:color w:val="000000"/>
          <w:sz w:val="24"/>
          <w:szCs w:val="24"/>
          <w:shd w:fill="auto" w:val="clear"/>
        </w:rPr>
        <w:t>тва в 1 (одном) экз.;</w:t>
      </w:r>
    </w:p>
    <w:p>
      <w:pPr>
        <w:pStyle w:val="Normal"/>
        <w:widowControl w:val="false"/>
        <w:numPr>
          <w:ilvl w:val="0"/>
          <w:numId w:val="9"/>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 xml:space="preserve">технический паспорт на русском языке </w:t>
      </w:r>
      <w:r>
        <w:rPr>
          <w:color w:val="000000"/>
          <w:sz w:val="24"/>
          <w:szCs w:val="24"/>
          <w:shd w:fill="auto" w:val="clear"/>
        </w:rPr>
        <w:t>в 1 (одном) экз.</w:t>
      </w:r>
      <w:r>
        <w:rPr>
          <w:color w:val="000000"/>
          <w:sz w:val="24"/>
          <w:szCs w:val="24"/>
        </w:rPr>
        <w:t>;</w:t>
      </w:r>
    </w:p>
    <w:p>
      <w:pPr>
        <w:pStyle w:val="Normal"/>
        <w:widowControl w:val="false"/>
        <w:numPr>
          <w:ilvl w:val="0"/>
          <w:numId w:val="9"/>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 xml:space="preserve">инструкция по эксплуатации на русском языке </w:t>
      </w:r>
      <w:r>
        <w:rPr>
          <w:color w:val="000000"/>
          <w:sz w:val="24"/>
          <w:szCs w:val="24"/>
          <w:shd w:fill="auto" w:val="clear"/>
        </w:rPr>
        <w:t>в 1 (одном) экз.</w:t>
      </w:r>
      <w:r>
        <w:rPr>
          <w:color w:val="000000"/>
          <w:sz w:val="24"/>
          <w:szCs w:val="24"/>
        </w:rPr>
        <w:t>;</w:t>
      </w:r>
    </w:p>
    <w:p>
      <w:pPr>
        <w:pStyle w:val="Normal"/>
        <w:widowControl w:val="false"/>
        <w:numPr>
          <w:ilvl w:val="0"/>
          <w:numId w:val="9"/>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 xml:space="preserve">упаковочный лист </w:t>
      </w:r>
      <w:r>
        <w:rPr>
          <w:color w:val="000000"/>
          <w:sz w:val="24"/>
          <w:szCs w:val="24"/>
          <w:shd w:fill="auto" w:val="clear"/>
        </w:rPr>
        <w:t>в 1 (одном) экз.</w:t>
      </w:r>
      <w:r>
        <w:rPr>
          <w:color w:val="000000"/>
          <w:sz w:val="24"/>
          <w:szCs w:val="24"/>
        </w:rPr>
        <w:t>;</w:t>
      </w:r>
    </w:p>
    <w:p>
      <w:pPr>
        <w:pStyle w:val="Normal"/>
        <w:widowControl w:val="false"/>
        <w:numPr>
          <w:ilvl w:val="0"/>
          <w:numId w:val="8"/>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br/>
        <w:t>сертификат о происхождении товара и т.п.) в зависимости от номенклатуры поставляемого Оборудования;</w:t>
      </w:r>
    </w:p>
    <w:p>
      <w:pPr>
        <w:pStyle w:val="Normal"/>
        <w:widowControl w:val="false"/>
        <w:numPr>
          <w:ilvl w:val="0"/>
          <w:numId w:val="8"/>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 xml:space="preserve">транспортная накладная или железнодорожная транспортная накладная (форма </w:t>
        <w:br/>
        <w:t>№ ГУ-27у (ГУ-27у ВЦ)) в 2 (двух) экз.;</w:t>
      </w:r>
    </w:p>
    <w:p>
      <w:pPr>
        <w:pStyle w:val="Normal"/>
        <w:widowControl w:val="false"/>
        <w:numPr>
          <w:ilvl w:val="0"/>
          <w:numId w:val="8"/>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Накладная ТОРГ-12/УПД в 2 (двух) экз.</w:t>
      </w:r>
    </w:p>
    <w:p>
      <w:pPr>
        <w:pStyle w:val="Normal"/>
        <w:widowControl w:val="false"/>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При передаче последней Партии Оборудования (за исключением Партии Оборудования, в состав которой включены только запасные части, инструменты и принадлежности без основного оборудования, в целях подтверждения степени локализации по генерирующему объекту «Нихалойская ГЭС» Подрядчик обязан передать:</w:t>
      </w:r>
    </w:p>
    <w:p>
      <w:pPr>
        <w:pStyle w:val="Normal"/>
        <w:widowControl w:val="false"/>
        <w:numPr>
          <w:ilvl w:val="0"/>
          <w:numId w:val="8"/>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копию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в соответствии с постановлением Правительства Российской Федерации от 17.07.2015 No 719 «О подтверждении производства российской промышленной продукции», действующего на дату поставки Партии Оборудования.</w:t>
      </w:r>
    </w:p>
    <w:p>
      <w:pPr>
        <w:pStyle w:val="Normal"/>
        <w:widowControl w:val="false"/>
        <w:numPr>
          <w:ilvl w:val="0"/>
          <w:numId w:val="8"/>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копию справки производителя оборудования с указанием даты (периода) изготовления Оборудования, заверенную подписью руководителя производителя Оборудования или уполномоченного им лица и скрепленную печатью производителя Оборудования.</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r>
        <w:rPr>
          <w:bCs/>
        </w:rPr>
        <w:t xml:space="preserve">Подрядчик обязан обеспечить присутствие во время приемки Оборудования </w:t>
        <w:br/>
        <w:t xml:space="preserve">и в Месте поставки Оборудования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 Подрядчика как просрочку поставки Оборудования. </w:t>
      </w:r>
    </w:p>
    <w:p>
      <w:pPr>
        <w:pStyle w:val="ListParagraph"/>
        <w:shd w:val="clear" w:color="auto" w:fill="FFFFFF"/>
        <w:tabs>
          <w:tab w:val="clear" w:pos="709"/>
          <w:tab w:val="left" w:pos="1134" w:leader="none"/>
          <w:tab w:val="left" w:pos="1418" w:leader="none"/>
        </w:tabs>
        <w:ind w:left="0" w:firstLine="709"/>
        <w:jc w:val="both"/>
        <w:rPr>
          <w:bCs/>
        </w:rPr>
      </w:pPr>
      <w:r>
        <w:rPr>
          <w:bCs/>
        </w:rPr>
        <w:t>Оригинал доверенности представителя Подрядчика подлежит передаче Заказчику.</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r>
        <w:rPr>
          <w:bCs/>
        </w:rPr>
        <w:t xml:space="preserve">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w:t>
        <w:br/>
        <w:t xml:space="preserve">в одностороннем порядке Акт рекламации будет являться достаточным основанием </w:t>
        <w:br/>
        <w:t>для применения к Подрядчику мер ответственности, установленных Договором.</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bookmarkStart w:id="4" w:name="_Ref361408474"/>
      <w:r>
        <w:rPr>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4"/>
      <w:r>
        <w:rPr>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pPr>
        <w:pStyle w:val="ListParagraph"/>
        <w:shd w:val="clear" w:color="auto" w:fill="FFFFFF"/>
        <w:tabs>
          <w:tab w:val="clear" w:pos="709"/>
          <w:tab w:val="left" w:pos="1134" w:leader="none"/>
          <w:tab w:val="left" w:pos="1418" w:leader="none"/>
        </w:tabs>
        <w:ind w:left="0" w:firstLine="709"/>
        <w:jc w:val="both"/>
        <w:rPr>
          <w:bCs/>
        </w:rPr>
      </w:pPr>
      <w:r>
        <w:rPr>
          <w:bCs/>
        </w:rPr>
        <w:t xml:space="preserve">Отдельные требования к упаковке и маркировке негабаритного Оборудования, </w:t>
        <w:b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pPr>
        <w:pStyle w:val="ListParagraph"/>
        <w:shd w:val="clear" w:color="auto" w:fill="FFFFFF"/>
        <w:tabs>
          <w:tab w:val="clear" w:pos="709"/>
          <w:tab w:val="left" w:pos="1134" w:leader="none"/>
          <w:tab w:val="left" w:pos="1418" w:leader="none"/>
        </w:tabs>
        <w:ind w:left="0" w:firstLine="709"/>
        <w:jc w:val="both"/>
        <w:rPr>
          <w:bCs/>
        </w:rPr>
      </w:pPr>
      <w:r>
        <w:rPr>
          <w:bCs/>
        </w:rPr>
        <w:t xml:space="preserve">Стоимость тары и упаковки включена в Цену Договора. Тара и упаковка возврату </w:t>
        <w:br/>
        <w:t xml:space="preserve">не подлежат.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Погрузка, дост</w:t>
      </w:r>
      <w:r>
        <w:rPr>
          <w:shd w:fill="auto" w:val="clear"/>
        </w:rPr>
        <w:t>авка, разгрузка и перемещен</w:t>
      </w:r>
      <w:r>
        <w:rPr/>
        <w:t xml:space="preserve">ие Оборудования (в том числе </w:t>
        <w:br/>
        <w:t xml:space="preserve">по территории Заказчика) осуществляется Подрядчиком.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Досрочная поставка Оборудования допускается только при условии получения Подрядчиком предварительного письменного согласия Заказчика. </w:t>
      </w:r>
    </w:p>
    <w:p>
      <w:pPr>
        <w:pStyle w:val="ListParagraph"/>
        <w:numPr>
          <w:ilvl w:val="1"/>
          <w:numId w:val="4"/>
        </w:numPr>
        <w:shd w:val="clear" w:color="auto" w:fill="FFFFFF"/>
        <w:tabs>
          <w:tab w:val="clear" w:pos="709"/>
          <w:tab w:val="left" w:pos="1134" w:leader="none"/>
          <w:tab w:val="left" w:pos="1418" w:leader="none"/>
        </w:tabs>
        <w:ind w:left="0" w:firstLine="709"/>
        <w:jc w:val="both"/>
        <w:rPr/>
      </w:pPr>
      <w:bookmarkStart w:id="5" w:name="_Ref361396594"/>
      <w:r>
        <w:rPr/>
        <w:t>Датой поставки Оборудования является дата подписания Сторонами Накладной ТОРГ-12</w:t>
      </w:r>
      <w:r>
        <w:rPr>
          <w:color w:val="000000"/>
          <w:sz w:val="24"/>
          <w:szCs w:val="24"/>
        </w:rPr>
        <w:t>/УПД</w:t>
      </w:r>
      <w:r>
        <w:rPr/>
        <w:t>.</w:t>
      </w:r>
      <w:bookmarkEnd w:id="5"/>
      <w:r>
        <w:rPr/>
        <w:t xml:space="preserve">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При обнаружении фактов некомплектности, недопоставки Оборудования, отсутствия необходимых принадлежностей и / или документов, относящихся </w:t>
        <w:br/>
        <w:t>к Оборудованию, Заказчик вправе прекратить приемку Оборудования до момента устранения выявленных нарушений. Подрядчик обязан</w:t>
      </w:r>
      <w:r>
        <w:rPr>
          <w:shd w:fill="auto" w:val="clear"/>
        </w:rPr>
        <w:t xml:space="preserve"> в течение 3 (трех) календарных </w:t>
      </w:r>
      <w:r>
        <w:rPr/>
        <w:t xml:space="preserve">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pPr>
        <w:pStyle w:val="ListParagraph"/>
        <w:shd w:val="clear" w:color="auto" w:fill="FFFFFF"/>
        <w:tabs>
          <w:tab w:val="clear" w:pos="709"/>
          <w:tab w:val="left" w:pos="1134" w:leader="none"/>
          <w:tab w:val="left" w:pos="1418" w:leader="none"/>
        </w:tabs>
        <w:ind w:left="0" w:firstLine="709"/>
        <w:jc w:val="both"/>
        <w:rPr/>
      </w:pPr>
      <w:bookmarkStart w:id="6" w:name="_Ref361408232"/>
      <w:r>
        <w:rPr/>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6"/>
      <w:r>
        <w:rPr/>
        <w:t xml:space="preserve">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Приемка Оборудования со вскрытием тары и упаковки производится Заказчиком в присутствии представителя Подрядчика в течени</w:t>
      </w:r>
      <w:r>
        <w:rPr>
          <w:shd w:fill="auto" w:val="clear"/>
        </w:rPr>
        <w:t xml:space="preserve">е 10 (десяти) рабочих </w:t>
      </w:r>
      <w:r>
        <w:rPr/>
        <w:t xml:space="preserve">дней </w:t>
        <w:br/>
        <w:t xml:space="preserve">с даты подписания Заказчиком </w:t>
      </w:r>
      <w:r>
        <w:rPr>
          <w:color w:val="000000"/>
        </w:rPr>
        <w:t>транспортных документов</w:t>
      </w:r>
      <w:r>
        <w:rPr/>
        <w:t>. В случае отсутствия замечаний Заказчик подписывает Н</w:t>
      </w:r>
      <w:r>
        <w:rPr>
          <w:color w:val="000000"/>
        </w:rPr>
        <w:t>акладную ТОРГ-12</w:t>
      </w:r>
      <w:r>
        <w:rPr>
          <w:color w:val="000000"/>
          <w:sz w:val="24"/>
          <w:szCs w:val="24"/>
        </w:rPr>
        <w:t>/УПД</w:t>
      </w:r>
      <w:r>
        <w:rPr>
          <w:color w:val="000000"/>
        </w:rPr>
        <w:t>.</w:t>
      </w:r>
    </w:p>
    <w:p>
      <w:pPr>
        <w:pStyle w:val="Normal"/>
        <w:widowControl w:val="false"/>
        <w:numPr>
          <w:ilvl w:val="1"/>
          <w:numId w:val="4"/>
        </w:numPr>
        <w:shd w:val="clear" w:color="auto" w:fill="FFFFFF"/>
        <w:tabs>
          <w:tab w:val="clear" w:pos="709"/>
          <w:tab w:val="left" w:pos="1418" w:leader="none"/>
        </w:tabs>
        <w:spacing w:lineRule="auto" w:line="240"/>
        <w:ind w:left="0" w:firstLine="709"/>
        <w:rPr>
          <w:sz w:val="24"/>
          <w:szCs w:val="24"/>
        </w:rPr>
      </w:pPr>
      <w:r>
        <w:rPr>
          <w:sz w:val="24"/>
          <w:szCs w:val="24"/>
        </w:rPr>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pPr>
        <w:pStyle w:val="Normal"/>
        <w:widowControl w:val="false"/>
        <w:shd w:val="clear" w:color="auto" w:fill="FFFFFF"/>
        <w:spacing w:lineRule="auto" w:line="240"/>
        <w:rPr/>
      </w:pPr>
      <w:r>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срок, установленный Сторонами в Акте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pPr>
        <w:pStyle w:val="Normal"/>
        <w:widowControl w:val="false"/>
        <w:shd w:val="clear" w:color="auto" w:fill="FFFFFF"/>
        <w:spacing w:lineRule="auto" w:line="240"/>
        <w:ind w:firstLine="709"/>
        <w:rPr>
          <w:sz w:val="24"/>
          <w:szCs w:val="24"/>
        </w:rPr>
      </w:pPr>
      <w:r>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pPr>
        <w:pStyle w:val="ListParagraph"/>
        <w:numPr>
          <w:ilvl w:val="1"/>
          <w:numId w:val="4"/>
        </w:numPr>
        <w:ind w:left="0" w:firstLine="709"/>
        <w:jc w:val="both"/>
        <w:rPr/>
      </w:pPr>
      <w:r>
        <w:rPr/>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2.13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pPr>
        <w:pStyle w:val="ListParagraph"/>
        <w:ind w:left="0" w:firstLine="709"/>
        <w:jc w:val="both"/>
        <w:rPr/>
      </w:pPr>
      <w:r>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Одновременно с подписанием Накладной ТОРГ-12</w:t>
      </w:r>
      <w:r>
        <w:rPr>
          <w:color w:val="000000"/>
          <w:sz w:val="24"/>
          <w:szCs w:val="24"/>
        </w:rPr>
        <w:t>/УПД</w:t>
      </w:r>
      <w:r>
        <w:rPr/>
        <w:t xml:space="preserve"> на Оборудование Стороны подписывают в отношении такого Оборудования Акт ОС-15. Полномочия представителя Подрядчика на подписание Акта ОС-15 должны быть подтверждены доверенностью, оформленной по унифицированной форме № М-2а (утвержденной постановлением </w:t>
      </w:r>
      <w:r>
        <w:rPr>
          <w:lang w:eastAsia="en-US"/>
        </w:rPr>
        <w:t>Госкомстата РФ от 30.10.1997 № 71а)</w:t>
      </w:r>
      <w:r>
        <w:rPr/>
        <w:t>. С момента подписания Акта ОС-15 Подрядчик несет риск случайной гибели и / или повреждения соответствующего Оборудования до момента подписания Сторонами документов, предусмотренных пунктом 5.2 Договора.</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br/>
        <w:t xml:space="preserve">при Совете Министров СССР от 15.06.1965 № П-6 (за исключением пунктов 18, 21, 29 – 32), Инструкцией Госарбитража при Совете Министров СССР от 25.04.1966 № П-7 </w:t>
        <w:br/>
        <w:t>(за исключением пунктов 20, 23, 30 (абзац 3), 35, 38 – 42).</w:t>
      </w:r>
    </w:p>
    <w:p>
      <w:pPr>
        <w:pStyle w:val="Normal"/>
        <w:widowControl w:val="false"/>
        <w:shd w:val="clear" w:color="auto" w:fill="FFFFFF"/>
        <w:spacing w:lineRule="auto" w:line="240"/>
        <w:ind w:hanging="0"/>
        <w:rPr>
          <w:sz w:val="24"/>
          <w:szCs w:val="24"/>
        </w:rPr>
      </w:pPr>
      <w:r>
        <w:rPr>
          <w:sz w:val="24"/>
          <w:szCs w:val="24"/>
        </w:rPr>
      </w:r>
    </w:p>
    <w:p>
      <w:pPr>
        <w:pStyle w:val="ListParagraph"/>
        <w:numPr>
          <w:ilvl w:val="0"/>
          <w:numId w:val="4"/>
        </w:numPr>
        <w:shd w:val="clear" w:color="auto" w:fill="FFFFFF"/>
        <w:tabs>
          <w:tab w:val="clear" w:pos="709"/>
          <w:tab w:val="left" w:pos="284" w:leader="none"/>
        </w:tabs>
        <w:ind w:left="0" w:hanging="0"/>
        <w:jc w:val="center"/>
        <w:rPr>
          <w:b/>
          <w:bCs/>
        </w:rPr>
      </w:pPr>
      <w:r>
        <w:rPr>
          <w:b/>
          <w:bCs/>
        </w:rPr>
        <w:t xml:space="preserve">Права и обязанности Сторон </w:t>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Заказчик обязан</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shd w:val="clear" w:color="auto" w:fill="FFFFFF"/>
        <w:tabs>
          <w:tab w:val="clear" w:pos="709"/>
          <w:tab w:val="left" w:pos="1418" w:leader="none"/>
        </w:tabs>
        <w:ind w:left="0" w:firstLine="709"/>
        <w:jc w:val="both"/>
        <w:rPr/>
      </w:pPr>
      <w:bookmarkStart w:id="7" w:name="_Ref361396847"/>
      <w:bookmarkStart w:id="8" w:name="_Ref361320734"/>
      <w:r>
        <w:rPr>
          <w:bCs/>
        </w:rPr>
        <w:t>В тече</w:t>
      </w:r>
      <w:r>
        <w:rPr>
          <w:bCs/>
          <w:shd w:fill="auto" w:val="clear"/>
        </w:rPr>
        <w:t xml:space="preserve">ние 3 (трех) рабочих дней с даты вступления Договора в силу, </w:t>
        <w:br/>
        <w:t>но не ранее получения соответствующего письменного запроса Подрядчика, передать (предоставить) последнему:</w:t>
      </w:r>
    </w:p>
    <w:p>
      <w:pPr>
        <w:pStyle w:val="ListParagraph"/>
        <w:numPr>
          <w:ilvl w:val="0"/>
          <w:numId w:val="11"/>
        </w:numPr>
        <w:shd w:val="clear" w:color="auto" w:fill="FFFFFF"/>
        <w:tabs>
          <w:tab w:val="left" w:pos="709" w:leader="none"/>
          <w:tab w:val="left" w:pos="1418" w:leader="none"/>
        </w:tabs>
        <w:ind w:left="0" w:firstLine="709"/>
        <w:jc w:val="both"/>
        <w:rPr>
          <w:highlight w:val="none"/>
          <w:shd w:fill="auto" w:val="clear"/>
        </w:rPr>
      </w:pPr>
      <w:r>
        <w:rPr>
          <w:shd w:fill="auto" w:val="clear"/>
        </w:rPr>
        <w:t>место производства Работ по соответствующему акту сдачи-приемки (Приложение № 5.1 к Договору);</w:t>
      </w:r>
    </w:p>
    <w:p>
      <w:pPr>
        <w:pStyle w:val="ListParagraph"/>
        <w:numPr>
          <w:ilvl w:val="0"/>
          <w:numId w:val="11"/>
        </w:numPr>
        <w:shd w:val="clear" w:color="auto" w:fill="FFFFFF"/>
        <w:tabs>
          <w:tab w:val="left" w:pos="709" w:leader="none"/>
          <w:tab w:val="left" w:pos="1418" w:leader="none"/>
        </w:tabs>
        <w:ind w:left="0" w:firstLine="709"/>
        <w:jc w:val="both"/>
        <w:rPr>
          <w:highlight w:val="none"/>
          <w:shd w:fill="auto" w:val="clear"/>
        </w:rPr>
      </w:pPr>
      <w:r>
        <w:rPr>
          <w:bCs/>
          <w:shd w:fill="auto" w:val="clear"/>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Pr>
          <w:shd w:fill="auto" w:val="clear"/>
        </w:rPr>
        <w:t xml:space="preserve"> </w:t>
      </w:r>
    </w:p>
    <w:p>
      <w:pPr>
        <w:pStyle w:val="ListParagraph"/>
        <w:numPr>
          <w:ilvl w:val="0"/>
          <w:numId w:val="11"/>
        </w:numPr>
        <w:shd w:val="clear" w:color="auto" w:fill="FFFFFF"/>
        <w:tabs>
          <w:tab w:val="left" w:pos="709" w:leader="none"/>
          <w:tab w:val="left" w:pos="1418" w:leader="none"/>
        </w:tabs>
        <w:ind w:left="0" w:firstLine="709"/>
        <w:jc w:val="both"/>
        <w:rPr>
          <w:highlight w:val="none"/>
          <w:shd w:fill="auto" w:val="clear"/>
        </w:rPr>
      </w:pPr>
      <w:bookmarkStart w:id="9" w:name="_Ref361401696"/>
      <w:r>
        <w:rPr>
          <w:bCs/>
          <w:shd w:fill="auto" w:val="clear"/>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bookmarkEnd w:id="9"/>
      <w:r>
        <w:rPr>
          <w:bCs/>
          <w:shd w:fill="auto" w:val="clear"/>
        </w:rPr>
        <w:t xml:space="preserve"> </w:t>
      </w:r>
      <w:bookmarkEnd w:id="8"/>
      <w:r>
        <w:rPr>
          <w:shd w:fill="auto" w:val="clear"/>
        </w:rPr>
        <w:t xml:space="preserve"> </w:t>
      </w:r>
      <w:bookmarkEnd w:id="7"/>
    </w:p>
    <w:p>
      <w:pPr>
        <w:pStyle w:val="ListParagraph"/>
        <w:numPr>
          <w:ilvl w:val="2"/>
          <w:numId w:val="4"/>
        </w:numPr>
        <w:shd w:val="clear" w:color="auto" w:fill="FFFFFF"/>
        <w:tabs>
          <w:tab w:val="clear" w:pos="709"/>
          <w:tab w:val="left" w:pos="1418" w:leader="none"/>
        </w:tabs>
        <w:ind w:left="0" w:firstLine="709"/>
        <w:jc w:val="both"/>
        <w:rPr>
          <w:bCs/>
        </w:rPr>
      </w:pPr>
      <w:r>
        <w:rPr>
          <w:bCs/>
          <w:shd w:fill="auto" w:val="clear"/>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w:t>
      </w:r>
      <w:r>
        <w:rPr>
          <w:bCs/>
        </w:rPr>
        <w:t xml:space="preserve">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ListParagraph"/>
        <w:shd w:val="clear" w:color="auto" w:fill="FFFFFF"/>
        <w:tabs>
          <w:tab w:val="clear" w:pos="709"/>
          <w:tab w:val="left" w:pos="1418" w:leader="none"/>
        </w:tabs>
        <w:ind w:left="0" w:firstLine="709"/>
        <w:jc w:val="both"/>
        <w:rPr>
          <w:bCs/>
        </w:rPr>
      </w:pPr>
      <w:r>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15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shd w:val="clear" w:color="auto" w:fill="FFFFFF"/>
        <w:tabs>
          <w:tab w:val="left" w:pos="709" w:leader="none"/>
        </w:tabs>
        <w:ind w:left="0" w:firstLine="709"/>
        <w:jc w:val="both"/>
        <w:rPr>
          <w:bCs/>
        </w:rPr>
      </w:pPr>
      <w:r>
        <w:rPr>
          <w:bCs/>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4"/>
        </w:numPr>
        <w:tabs>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4"/>
        </w:numPr>
        <w:shd w:val="clear" w:color="auto" w:fill="FFFFFF"/>
        <w:tabs>
          <w:tab w:val="left" w:pos="709" w:leader="none"/>
        </w:tabs>
        <w:ind w:left="0" w:firstLine="709"/>
        <w:jc w:val="both"/>
        <w:rPr>
          <w:bCs/>
        </w:rPr>
      </w:pPr>
      <w:r>
        <w:rPr>
          <w:bCs/>
        </w:rPr>
        <w:t>Выполнять иные обязанности, предусмотренные Договором.</w:t>
      </w:r>
    </w:p>
    <w:p>
      <w:pPr>
        <w:pStyle w:val="Normal"/>
        <w:tabs>
          <w:tab w:val="left" w:pos="709" w:leader="none"/>
        </w:tabs>
        <w:spacing w:lineRule="auto" w:line="240"/>
        <w:ind w:hanging="0"/>
        <w:rPr>
          <w:b/>
          <w:sz w:val="24"/>
          <w:szCs w:val="24"/>
        </w:rPr>
      </w:pPr>
      <w:r>
        <w:rPr>
          <w:b/>
          <w:sz w:val="24"/>
          <w:szCs w:val="24"/>
        </w:rPr>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Самостоятельно или с привлечением третьих лиц осуществлять контроль, </w:t>
        <w:br/>
        <w:t xml:space="preserve">в том числе строительный, и надзор за ходом и качеством выполняемых Подрядчиком </w:t>
        <w:br/>
        <w:t xml:space="preserve">и Субподрядчиками по Договору Работ, соблюдением сроков их выполнения, </w:t>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4"/>
        </w:numPr>
        <w:shd w:val="clear" w:color="auto" w:fill="FFFFFF"/>
        <w:tabs>
          <w:tab w:val="clear" w:pos="709"/>
          <w:tab w:val="left" w:pos="1418" w:leader="none"/>
        </w:tabs>
        <w:ind w:left="0" w:firstLine="709"/>
        <w:jc w:val="both"/>
        <w:rPr>
          <w:bCs/>
        </w:rPr>
      </w:pPr>
      <w:bookmarkStart w:id="10"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bCs/>
        </w:rPr>
        <w:t xml:space="preserve"> </w:t>
      </w:r>
    </w:p>
    <w:p>
      <w:pPr>
        <w:pStyle w:val="ListParagraph"/>
        <w:numPr>
          <w:ilvl w:val="2"/>
          <w:numId w:val="4"/>
        </w:numPr>
        <w:shd w:val="clear" w:color="auto" w:fill="FFFFFF"/>
        <w:tabs>
          <w:tab w:val="clear" w:pos="709"/>
          <w:tab w:val="left" w:pos="1418" w:leader="none"/>
        </w:tabs>
        <w:ind w:left="0" w:firstLine="709"/>
        <w:jc w:val="both"/>
        <w:rPr>
          <w:bCs/>
        </w:rPr>
      </w:pPr>
      <w:bookmarkStart w:id="11" w:name="_Ref361334468"/>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br/>
        <w:t>до принятия совместного решения Сторон о возобновлении допуска.</w:t>
      </w:r>
      <w:bookmarkEnd w:id="11"/>
    </w:p>
    <w:p>
      <w:pPr>
        <w:pStyle w:val="ListParagraph"/>
        <w:numPr>
          <w:ilvl w:val="2"/>
          <w:numId w:val="4"/>
        </w:numPr>
        <w:ind w:left="0" w:firstLine="709"/>
        <w:jc w:val="both"/>
        <w:rPr>
          <w:rFonts w:eastAsia="Calibri" w:eastAsiaTheme="minorHAnsi"/>
          <w:lang w:eastAsia="en-US"/>
        </w:rPr>
      </w:pPr>
      <w:bookmarkStart w:id="12"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bCs/>
        </w:rPr>
        <w:t xml:space="preserve"> </w:t>
      </w:r>
    </w:p>
    <w:p>
      <w:pPr>
        <w:pStyle w:val="ListParagraph"/>
        <w:numPr>
          <w:ilvl w:val="2"/>
          <w:numId w:val="4"/>
        </w:numPr>
        <w:shd w:val="clear" w:color="auto" w:fill="FFFFFF"/>
        <w:tabs>
          <w:tab w:val="clear" w:pos="709"/>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9"/>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4"/>
        </w:numPr>
        <w:shd w:val="clear" w:color="auto" w:fill="FFFFFF"/>
        <w:tabs>
          <w:tab w:val="clear" w:pos="709"/>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9"/>
          <w:tab w:val="left" w:pos="567" w:leader="none"/>
          <w:tab w:val="left" w:pos="1418" w:leader="none"/>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shd w:val="clear" w:color="auto" w:fill="FFFFFF"/>
        <w:tabs>
          <w:tab w:val="clear" w:pos="709"/>
          <w:tab w:val="left" w:pos="567" w:leader="none"/>
        </w:tabs>
        <w:ind w:left="0" w:firstLine="567"/>
        <w:jc w:val="both"/>
        <w:rPr>
          <w:bCs/>
          <w:color w:val="FF0000"/>
        </w:rPr>
      </w:pPr>
      <w:r>
        <w:rPr>
          <w:bCs/>
          <w:color w:val="FF0000"/>
        </w:rPr>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r>
        <w:rPr>
          <w:bCs/>
          <w:u w:val="single"/>
        </w:rPr>
        <w:t>Подрядчик обязан</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В срок, указанный в пункте 3.1.2 Договора, принять от Заказчика на время выполнения Работ по Договору: </w:t>
      </w:r>
    </w:p>
    <w:p>
      <w:pPr>
        <w:pStyle w:val="ListParagraph"/>
        <w:numPr>
          <w:ilvl w:val="0"/>
          <w:numId w:val="22"/>
        </w:numPr>
        <w:shd w:val="clear" w:color="auto" w:fill="FFFFFF"/>
        <w:tabs>
          <w:tab w:val="clear" w:pos="709"/>
          <w:tab w:val="left" w:pos="1418" w:leader="none"/>
        </w:tabs>
        <w:ind w:left="0" w:firstLine="709"/>
        <w:jc w:val="both"/>
        <w:rPr>
          <w:bCs/>
        </w:rPr>
      </w:pPr>
      <w:r>
        <w:rPr>
          <w:bCs/>
        </w:rPr>
        <w:t>место производства Работ,</w:t>
      </w:r>
      <w:r>
        <w:rPr>
          <w:bCs/>
          <w:color w:val="FF0000"/>
        </w:rPr>
        <w:t xml:space="preserve"> </w:t>
      </w:r>
      <w:r>
        <w:rPr>
          <w:bCs/>
        </w:rPr>
        <w:t>по соответствующим актам сдачи-приемки (Приложение № 5.1 к Договору);</w:t>
      </w:r>
    </w:p>
    <w:p>
      <w:pPr>
        <w:pStyle w:val="ListParagraph"/>
        <w:numPr>
          <w:ilvl w:val="0"/>
          <w:numId w:val="22"/>
        </w:numPr>
        <w:shd w:val="clear" w:color="auto" w:fill="FFFFFF"/>
        <w:tabs>
          <w:tab w:val="clear" w:pos="709"/>
          <w:tab w:val="left" w:pos="1418" w:leader="none"/>
        </w:tabs>
        <w:ind w:left="0" w:firstLine="709"/>
        <w:jc w:val="both"/>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pPr>
        <w:pStyle w:val="ListParagraph"/>
        <w:shd w:val="clear" w:color="auto" w:fill="FFFFFF"/>
        <w:tabs>
          <w:tab w:val="clear" w:pos="709"/>
          <w:tab w:val="left" w:pos="1418" w:leader="none"/>
        </w:tabs>
        <w:ind w:left="0" w:firstLine="709"/>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4"/>
        </w:numPr>
        <w:shd w:val="clear" w:color="auto" w:fill="FFFFFF"/>
        <w:tabs>
          <w:tab w:val="clear" w:pos="709"/>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w:t>
      </w:r>
      <w:r>
        <w:rPr>
          <w:bCs/>
          <w:shd w:fill="auto" w:val="clear"/>
        </w:rPr>
        <w:t>ение 5 (пяти) раб</w:t>
      </w:r>
      <w:r>
        <w:rPr>
          <w:bCs/>
        </w:rPr>
        <w:t>очих дней с даты принятия ее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b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4"/>
        </w:numPr>
        <w:shd w:val="clear" w:color="auto" w:fill="FFFFFF"/>
        <w:tabs>
          <w:tab w:val="clear" w:pos="709"/>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8"/>
        </w:numPr>
        <w:shd w:val="clear" w:color="auto" w:fill="FFFFFF"/>
        <w:tabs>
          <w:tab w:val="clear" w:pos="709"/>
          <w:tab w:val="left" w:pos="1418" w:leader="none"/>
        </w:tabs>
        <w:ind w:left="0" w:firstLine="709"/>
        <w:jc w:val="both"/>
        <w:rPr>
          <w:bCs/>
        </w:rPr>
      </w:pPr>
      <w:r>
        <w:rPr>
          <w:bCs/>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8"/>
        </w:numPr>
        <w:shd w:val="clear" w:color="auto" w:fill="FFFFFF"/>
        <w:tabs>
          <w:tab w:val="left" w:pos="709" w:leader="none"/>
          <w:tab w:val="left" w:pos="1418" w:leader="none"/>
        </w:tabs>
        <w:ind w:left="0" w:firstLine="709"/>
        <w:jc w:val="both"/>
        <w:rPr>
          <w:bCs/>
        </w:rPr>
      </w:pPr>
      <w:r>
        <w:rPr>
          <w:bCs/>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8"/>
        </w:numPr>
        <w:shd w:val="clear" w:color="auto" w:fill="FFFFFF"/>
        <w:tabs>
          <w:tab w:val="left" w:pos="709" w:leader="none"/>
          <w:tab w:val="left" w:pos="1418" w:leader="none"/>
        </w:tabs>
        <w:ind w:left="0" w:firstLine="709"/>
        <w:jc w:val="both"/>
        <w:rPr>
          <w:bCs/>
        </w:rPr>
      </w:pPr>
      <w:r>
        <w:rPr>
          <w:bCs/>
        </w:rPr>
        <w:t>контакты и должность, реквизиты доверенностей</w:t>
      </w:r>
      <w:r>
        <w:rPr/>
        <w:t xml:space="preserve"> </w:t>
      </w:r>
      <w:r>
        <w:rPr>
          <w:bCs/>
        </w:rPr>
        <w:t>представителей Подрядчика, уполномоченных на совершение действий, предусмотренных пунктом 2.4 Договора.</w:t>
      </w:r>
    </w:p>
    <w:p>
      <w:pPr>
        <w:pStyle w:val="ListParagraph"/>
        <w:numPr>
          <w:ilvl w:val="2"/>
          <w:numId w:val="4"/>
        </w:numPr>
        <w:shd w:val="clear" w:color="auto" w:fill="FFFFFF"/>
        <w:tabs>
          <w:tab w:val="clear" w:pos="709"/>
          <w:tab w:val="left" w:pos="1418" w:leader="none"/>
          <w:tab w:val="left" w:pos="4820"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3.2.3 и разделе 17 Договора, не позднее 3 (трех) рабочих дней с даты получения соответствующего требования Заказчика. </w:t>
      </w:r>
    </w:p>
    <w:p>
      <w:pPr>
        <w:pStyle w:val="ListParagraph"/>
        <w:numPr>
          <w:ilvl w:val="2"/>
          <w:numId w:val="4"/>
        </w:numPr>
        <w:shd w:val="clear" w:color="auto" w:fill="FFFFFF"/>
        <w:tabs>
          <w:tab w:val="clear" w:pos="709"/>
          <w:tab w:val="left" w:pos="1418" w:leader="none"/>
        </w:tabs>
        <w:ind w:left="0" w:firstLine="709"/>
        <w:jc w:val="both"/>
        <w:rPr/>
      </w:pPr>
      <w: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9"/>
          <w:tab w:val="left" w:pos="1418" w:leader="none"/>
        </w:tabs>
        <w:ind w:left="0" w:firstLine="709"/>
        <w:jc w:val="both"/>
        <w:rPr/>
      </w:pPr>
      <w:r>
        <w:rPr/>
        <w:t xml:space="preserve">Подрядчик обязан незамедлительно, но в любом случае не позднее рабочего дня, следующего за днем наступления соответствующего обстоятельства, сообщать Заказчику </w:t>
        <w:br/>
        <w:t xml:space="preserve">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для надлежащего исполнения Подрядчиком своих обязательств по Договору</w:t>
      </w:r>
      <w:r>
        <w:rPr>
          <w:bCs/>
        </w:rPr>
        <w:t>, в том числе указанных в Приложении № 6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9"/>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9"/>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9"/>
          <w:tab w:val="left" w:pos="1418" w:leader="none"/>
        </w:tabs>
        <w:ind w:left="0" w:firstLine="709"/>
        <w:jc w:val="both"/>
        <w:rPr/>
      </w:pPr>
      <w:r>
        <w:rPr/>
        <w:t>Обеспечить:</w:t>
      </w:r>
    </w:p>
    <w:p>
      <w:pPr>
        <w:pStyle w:val="ListParagraph"/>
        <w:numPr>
          <w:ilvl w:val="0"/>
          <w:numId w:val="19"/>
        </w:numPr>
        <w:shd w:val="clear" w:color="auto" w:fill="FFFFFF"/>
        <w:tabs>
          <w:tab w:val="clear" w:pos="709"/>
          <w:tab w:val="left" w:pos="567" w:leader="none"/>
          <w:tab w:val="left" w:pos="1418" w:leader="none"/>
        </w:tabs>
        <w:ind w:left="0" w:firstLine="709"/>
        <w:jc w:val="both"/>
        <w:rPr>
          <w:bCs/>
        </w:rPr>
      </w:pPr>
      <w:r>
        <w:rPr>
          <w:bCs/>
        </w:rPr>
        <w:t>участие Подрядчика в саморегулируемой организации (СРО), основанной на членстве лиц,</w:t>
      </w:r>
      <w:r>
        <w:rPr/>
        <w:t xml:space="preserve"> осуществляющих строительство </w:t>
      </w:r>
      <w:r>
        <w:rPr>
          <w:bCs/>
        </w:rPr>
        <w:t>(с учетом исключений, предусмотренных законодательством Российской Федерации);</w:t>
      </w:r>
    </w:p>
    <w:p>
      <w:pPr>
        <w:pStyle w:val="ListParagraph"/>
        <w:numPr>
          <w:ilvl w:val="0"/>
          <w:numId w:val="19"/>
        </w:numPr>
        <w:shd w:val="clear" w:color="auto" w:fill="FFFFFF"/>
        <w:tabs>
          <w:tab w:val="clear" w:pos="709"/>
          <w:tab w:val="left" w:pos="567" w:leader="none"/>
          <w:tab w:val="left" w:pos="1418" w:leader="none"/>
        </w:tabs>
        <w:ind w:left="0" w:firstLine="709"/>
        <w:jc w:val="both"/>
        <w:rPr>
          <w:bCs/>
        </w:rPr>
      </w:pPr>
      <w:r>
        <w:rPr>
          <w:bCs/>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9"/>
        </w:numPr>
        <w:tabs>
          <w:tab w:val="clear" w:pos="709"/>
          <w:tab w:val="left" w:pos="567" w:leader="none"/>
          <w:tab w:val="left" w:pos="1418" w:leader="none"/>
        </w:tabs>
        <w:ind w:left="0" w:firstLine="709"/>
        <w:jc w:val="both"/>
        <w:rPr>
          <w:bCs/>
        </w:rPr>
      </w:pPr>
      <w:r>
        <w:rPr>
          <w:bCs/>
        </w:rPr>
        <w:t xml:space="preserve">организацию выполнения Работ по Договору лицом (лицами), сведения </w:t>
        <w:br/>
        <w:t>о которых включены в Национальный реестр специалистов в области строительства.</w:t>
      </w:r>
    </w:p>
    <w:p>
      <w:pPr>
        <w:pStyle w:val="ListParagraph"/>
        <w:numPr>
          <w:ilvl w:val="2"/>
          <w:numId w:val="4"/>
        </w:numPr>
        <w:shd w:val="clear" w:color="auto" w:fill="FFFFFF"/>
        <w:tabs>
          <w:tab w:val="clear" w:pos="709"/>
          <w:tab w:val="left" w:pos="1418" w:leader="none"/>
        </w:tabs>
        <w:ind w:left="0" w:firstLine="709"/>
        <w:jc w:val="both"/>
        <w:rPr>
          <w:bCs/>
        </w:rPr>
      </w:pPr>
      <w:r>
        <w:rPr/>
        <w:t>Выполнять</w:t>
      </w:r>
      <w:r>
        <w:rPr>
          <w:bCs/>
        </w:rPr>
        <w:t xml:space="preserve"> Работы силами квалифицированных специалистов (в том числе </w:t>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ListParagraph"/>
        <w:numPr>
          <w:ilvl w:val="2"/>
          <w:numId w:val="4"/>
        </w:numPr>
        <w:shd w:val="clear" w:color="auto" w:fill="FFFFFF"/>
        <w:tabs>
          <w:tab w:val="clear" w:pos="709"/>
          <w:tab w:val="left" w:pos="1418" w:leader="none"/>
        </w:tabs>
        <w:ind w:left="0" w:firstLine="709"/>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9"/>
          <w:tab w:val="left" w:pos="1418" w:leader="none"/>
        </w:tabs>
        <w:ind w:left="0" w:firstLine="709"/>
        <w:jc w:val="both"/>
        <w:rPr>
          <w:bCs/>
        </w:rPr>
      </w:pPr>
      <w:r>
        <w:rPr>
          <w:bCs/>
        </w:rPr>
        <w:t xml:space="preserve">Подрядчик обязуется письменно согласовать с Заказчиком планируемые </w:t>
        <w:br/>
        <w:t>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4"/>
        </w:numPr>
        <w:shd w:val="clear" w:color="auto" w:fill="FFFFFF"/>
        <w:tabs>
          <w:tab w:val="clear" w:pos="709"/>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4"/>
        </w:numPr>
        <w:shd w:val="clear" w:color="auto" w:fill="FFFFFF"/>
        <w:tabs>
          <w:tab w:val="clear" w:pos="709"/>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 </w:t>
      </w:r>
      <w:r>
        <w:rPr>
          <w:bCs/>
        </w:rPr>
        <w:t xml:space="preserve">В случае применения контролирующими органами штрафных санкций </w:t>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9"/>
          <w:tab w:val="left" w:pos="1418" w:leader="none"/>
        </w:tabs>
        <w:ind w:left="0" w:firstLine="709"/>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tabs>
          <w:tab w:val="clear" w:pos="709"/>
          <w:tab w:val="left" w:pos="1418" w:leader="none"/>
        </w:tabs>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ListParagraph"/>
        <w:shd w:val="clear" w:color="auto" w:fill="FFFFFF"/>
        <w:tabs>
          <w:tab w:val="clear" w:pos="709"/>
          <w:tab w:val="left" w:pos="1418" w:leader="none"/>
        </w:tabs>
        <w:ind w:left="0" w:firstLine="709"/>
        <w:jc w:val="both"/>
        <w:rPr>
          <w:bCs/>
        </w:rPr>
      </w:pPr>
      <w:r>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4"/>
        </w:numPr>
        <w:shd w:val="clear" w:color="auto" w:fill="FFFFFF"/>
        <w:tabs>
          <w:tab w:val="clear" w:pos="709"/>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 </w:t>
      </w:r>
      <w:r>
        <w:rPr>
          <w:bCs/>
        </w:rPr>
        <w:t>Передать Заказчику в полном объеме</w:t>
      </w:r>
      <w:r>
        <w:rPr/>
        <w:t xml:space="preserve"> лом и отходы черных и цветных металлов, </w:t>
      </w:r>
      <w:r>
        <w:rPr>
          <w:bCs/>
        </w:rPr>
        <w:t>образовавшиеся в ходе выполнения Работ.</w:t>
      </w:r>
    </w:p>
    <w:p>
      <w:pPr>
        <w:pStyle w:val="ListParagraph"/>
        <w:shd w:val="clear" w:color="auto" w:fill="FFFFFF"/>
        <w:tabs>
          <w:tab w:val="clear" w:pos="709"/>
          <w:tab w:val="left" w:pos="1418" w:leader="none"/>
        </w:tabs>
        <w:ind w:left="0" w:firstLine="709"/>
        <w:jc w:val="both"/>
        <w:rPr>
          <w:bCs/>
        </w:rPr>
      </w:pPr>
      <w:r>
        <w:rPr>
          <w:bCs/>
        </w:rPr>
        <w:t>Подрядчик обязан предъявлять Заказчику материальные ценности, образованные в результате демонтажа объектов основных средств или их частей, в т.ч. объектов незавершенного строительства, а также малоценные и быстроизнашивающиеся предметы, хозяйственный инвентарь, инструменты и приспособления общего и специального назначения в порядке, установленном в Приложении № 17 к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9"/>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9"/>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3.3.22.1 Договора. </w:t>
      </w:r>
    </w:p>
    <w:p>
      <w:pPr>
        <w:pStyle w:val="ListParagraph"/>
        <w:shd w:val="clear" w:color="auto" w:fill="FFFFFF"/>
        <w:tabs>
          <w:tab w:val="clear" w:pos="709"/>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 </w:t>
      </w: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9"/>
          <w:tab w:val="left" w:pos="1418" w:leader="none"/>
          <w:tab w:val="left" w:pos="1701" w:leader="none"/>
        </w:tabs>
        <w:ind w:left="0" w:firstLine="709"/>
        <w:jc w:val="both"/>
        <w:rPr>
          <w:bCs/>
        </w:rPr>
      </w:pPr>
      <w:r>
        <w:rPr>
          <w:bCs/>
        </w:rPr>
        <w:t xml:space="preserve">Возможных неблагоприятных для Заказчика последствий выполнения </w:t>
        <w:br/>
        <w:t xml:space="preserve">его указаний – в любом случае не позднее момента начала выполнения таких указаний. </w:t>
      </w:r>
    </w:p>
    <w:p>
      <w:pPr>
        <w:pStyle w:val="ListParagraph"/>
        <w:numPr>
          <w:ilvl w:val="3"/>
          <w:numId w:val="4"/>
        </w:numPr>
        <w:shd w:val="clear" w:color="auto" w:fill="FFFFFF"/>
        <w:tabs>
          <w:tab w:val="clear" w:pos="709"/>
          <w:tab w:val="left" w:pos="1418" w:leader="none"/>
          <w:tab w:val="left" w:pos="1701" w:leader="none"/>
        </w:tabs>
        <w:ind w:left="0" w:firstLine="709"/>
        <w:jc w:val="both"/>
        <w:rPr>
          <w:bCs/>
        </w:rPr>
      </w:pPr>
      <w:r>
        <w:rPr>
          <w:bCs/>
        </w:rPr>
        <w:t xml:space="preserve">Отклонения от требований действующих норм и правил, технической </w:t>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9"/>
          <w:tab w:val="left" w:pos="1418" w:leader="none"/>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9"/>
          <w:tab w:val="left" w:pos="567" w:leader="none"/>
          <w:tab w:val="left" w:pos="1418" w:leader="none"/>
        </w:tabs>
        <w:ind w:left="0" w:firstLine="709"/>
        <w:jc w:val="both"/>
        <w:rPr>
          <w:bCs/>
        </w:rPr>
      </w:pPr>
      <w:r>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 </w:t>
      </w:r>
      <w:r>
        <w:rPr>
          <w:bCs/>
        </w:rPr>
        <w:t>Письменно уведомлять</w:t>
      </w:r>
      <w: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20"/>
        </w:numPr>
        <w:tabs>
          <w:tab w:val="clear" w:pos="709"/>
          <w:tab w:val="left" w:pos="1418" w:leader="none"/>
        </w:tabs>
        <w:ind w:left="0" w:firstLine="709"/>
        <w:jc w:val="both"/>
        <w:rPr/>
      </w:pPr>
      <w:r>
        <w:rPr/>
        <w:t>аварии – в течение 2 (двух) часов;</w:t>
      </w:r>
    </w:p>
    <w:p>
      <w:pPr>
        <w:pStyle w:val="ListParagraph"/>
        <w:numPr>
          <w:ilvl w:val="0"/>
          <w:numId w:val="20"/>
        </w:numPr>
        <w:tabs>
          <w:tab w:val="clear" w:pos="709"/>
          <w:tab w:val="left" w:pos="1418" w:leader="none"/>
        </w:tabs>
        <w:ind w:left="0" w:firstLine="709"/>
        <w:jc w:val="both"/>
        <w:rPr/>
      </w:pPr>
      <w:r>
        <w:rPr/>
        <w:t>любом несчастном случае независимо от степени его тяжести – в течение суток по форме, установленной приказом Минтруда России от 20.04.2022 № 223н, а после окончания расследования предоставлять копии соответствующих материалов;</w:t>
      </w:r>
    </w:p>
    <w:p>
      <w:pPr>
        <w:pStyle w:val="ListParagraph"/>
        <w:numPr>
          <w:ilvl w:val="0"/>
          <w:numId w:val="20"/>
        </w:numPr>
        <w:tabs>
          <w:tab w:val="clear" w:pos="709"/>
          <w:tab w:val="left" w:pos="1418" w:leader="none"/>
        </w:tabs>
        <w:ind w:left="0" w:firstLine="709"/>
        <w:jc w:val="both"/>
        <w:rPr/>
      </w:pPr>
      <w:r>
        <w:rPr/>
        <w:t>хищении и иных противоправных действиях – в течение 24 (двадцати четырех) часов;</w:t>
      </w:r>
    </w:p>
    <w:p>
      <w:pPr>
        <w:pStyle w:val="ListParagraph"/>
        <w:numPr>
          <w:ilvl w:val="0"/>
          <w:numId w:val="20"/>
        </w:numPr>
        <w:tabs>
          <w:tab w:val="clear" w:pos="709"/>
          <w:tab w:val="left" w:pos="1418" w:leader="none"/>
        </w:tabs>
        <w:ind w:left="0" w:firstLine="709"/>
        <w:jc w:val="both"/>
        <w:rPr/>
      </w:pPr>
      <w: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20"/>
        </w:numPr>
        <w:tabs>
          <w:tab w:val="clear" w:pos="709"/>
          <w:tab w:val="left" w:pos="1418" w:leader="none"/>
        </w:tabs>
        <w:ind w:left="0" w:firstLine="709"/>
        <w:jc w:val="both"/>
        <w:rPr/>
      </w:pPr>
      <w:r>
        <w:rPr/>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20"/>
        </w:numPr>
        <w:tabs>
          <w:tab w:val="clear" w:pos="709"/>
          <w:tab w:val="left" w:pos="1418" w:leader="none"/>
        </w:tabs>
        <w:ind w:left="0"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9"/>
          <w:tab w:val="left" w:pos="1418" w:leader="none"/>
        </w:tabs>
        <w:ind w:left="0" w:firstLine="709"/>
        <w:jc w:val="both"/>
        <w:rPr/>
      </w:pPr>
      <w:r>
        <w:rPr/>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5.1, к Договору).</w:t>
      </w:r>
    </w:p>
    <w:p>
      <w:pPr>
        <w:pStyle w:val="ListParagraph"/>
        <w:numPr>
          <w:ilvl w:val="2"/>
          <w:numId w:val="4"/>
        </w:numPr>
        <w:shd w:val="clear" w:color="auto" w:fill="FFFFFF"/>
        <w:tabs>
          <w:tab w:val="clear" w:pos="709"/>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9"/>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shd w:val="clear" w:color="auto" w:fill="FFFFFF"/>
        <w:tabs>
          <w:tab w:val="clear" w:pos="709"/>
          <w:tab w:val="left" w:pos="1418" w:leader="none"/>
        </w:tabs>
        <w:ind w:left="0" w:firstLine="709"/>
        <w:jc w:val="both"/>
        <w:rPr>
          <w:bCs/>
        </w:rPr>
      </w:pPr>
      <w: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9"/>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w:t>
        <w:br/>
        <w:t xml:space="preserve">но не позднее, чем </w:t>
      </w:r>
      <w:r>
        <w:rPr>
          <w:bCs/>
          <w:shd w:fill="auto" w:val="clear"/>
        </w:rPr>
        <w:t xml:space="preserve">за </w:t>
      </w:r>
      <w:r>
        <w:rPr>
          <w:shd w:fill="auto" w:val="clear"/>
        </w:rPr>
        <w:t>5 (пять)</w:t>
      </w:r>
      <w:r>
        <w:rPr>
          <w:bCs/>
          <w:shd w:fill="auto" w:val="clear"/>
        </w:rPr>
        <w:t xml:space="preserve"> рабочих дней до </w:t>
      </w:r>
      <w:r>
        <w:rPr>
          <w:bCs/>
        </w:rPr>
        <w:t>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pPr>
        <w:pStyle w:val="ListParagraph"/>
        <w:numPr>
          <w:ilvl w:val="2"/>
          <w:numId w:val="4"/>
        </w:numPr>
        <w:shd w:val="clear" w:color="auto" w:fill="FFFFFF"/>
        <w:tabs>
          <w:tab w:val="left" w:pos="567" w:leader="none"/>
          <w:tab w:val="left" w:pos="709" w:leader="none"/>
          <w:tab w:val="left" w:pos="1418" w:leader="none"/>
        </w:tabs>
        <w:ind w:left="0" w:firstLine="709"/>
        <w:jc w:val="both"/>
        <w:rPr>
          <w:bCs/>
        </w:rPr>
      </w:pPr>
      <w:r>
        <w:rPr>
          <w:bCs/>
        </w:rPr>
        <w:t xml:space="preserve"> </w:t>
      </w:r>
      <w:r>
        <w:rPr>
          <w:bCs/>
        </w:rPr>
        <w:t xml:space="preserve">В соответствии с </w:t>
      </w:r>
      <w:r>
        <w:rPr>
          <w:iCs/>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N 421/пр</w:t>
      </w:r>
      <w:r>
        <w:rPr>
          <w:bCs/>
        </w:rPr>
        <w:t>, обеспечить в счет Цены Договора:</w:t>
      </w:r>
    </w:p>
    <w:p>
      <w:pPr>
        <w:pStyle w:val="ListParagraph"/>
        <w:numPr>
          <w:ilvl w:val="0"/>
          <w:numId w:val="28"/>
        </w:numPr>
        <w:shd w:val="clear" w:color="auto" w:fill="FFFFFF"/>
        <w:tabs>
          <w:tab w:val="clear" w:pos="709"/>
          <w:tab w:val="left" w:pos="567" w:leader="none"/>
          <w:tab w:val="left" w:pos="1418" w:leader="none"/>
        </w:tabs>
        <w:ind w:left="0" w:firstLine="709"/>
        <w:jc w:val="both"/>
        <w:rPr>
          <w:bCs/>
        </w:rPr>
      </w:pPr>
      <w:r>
        <w:rPr>
          <w:bCs/>
        </w:rPr>
        <w:t xml:space="preserve">на время проведения пусконаладочных работ «вхолостую» </w:t>
      </w:r>
      <w:r>
        <w:rPr/>
        <w:t xml:space="preserve">– </w:t>
      </w:r>
      <w:r>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pPr>
        <w:pStyle w:val="ListParagraph"/>
        <w:numPr>
          <w:ilvl w:val="0"/>
          <w:numId w:val="28"/>
        </w:numPr>
        <w:shd w:val="clear" w:color="auto" w:fill="FFFFFF"/>
        <w:tabs>
          <w:tab w:val="clear" w:pos="709"/>
          <w:tab w:val="left" w:pos="567" w:leader="none"/>
          <w:tab w:val="left" w:pos="1418" w:leader="none"/>
        </w:tabs>
        <w:ind w:left="0" w:firstLine="709"/>
        <w:jc w:val="both"/>
        <w:rPr>
          <w:bCs/>
        </w:rPr>
      </w:pPr>
      <w:r>
        <w:rPr>
          <w:bCs/>
        </w:rPr>
        <w:t xml:space="preserve">на время проведения пусконаладочных работ «под нагрузкой» </w:t>
      </w:r>
      <w:r>
        <w:rPr/>
        <w:t>–</w:t>
      </w:r>
      <w:r>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pPr>
        <w:pStyle w:val="ListParagraph"/>
        <w:numPr>
          <w:ilvl w:val="2"/>
          <w:numId w:val="4"/>
        </w:numPr>
        <w:shd w:val="clear" w:color="auto" w:fill="FFFFFF"/>
        <w:tabs>
          <w:tab w:val="left" w:pos="567" w:leader="none"/>
          <w:tab w:val="left" w:pos="709" w:leader="none"/>
          <w:tab w:val="left" w:pos="1418" w:leader="none"/>
        </w:tabs>
        <w:ind w:left="0" w:firstLine="709"/>
        <w:jc w:val="both"/>
        <w:rPr>
          <w:bCs/>
        </w:rPr>
      </w:pPr>
      <w:r>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Осуществлять мероприятия строительного контроля, возложенные </w:t>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9"/>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В случае предъявления налоговыми органами претензий и требований </w:t>
        <w:br/>
        <w:t>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4"/>
        </w:numPr>
        <w:tabs>
          <w:tab w:val="clear" w:pos="709"/>
          <w:tab w:val="left" w:pos="1418" w:leader="none"/>
        </w:tabs>
        <w:ind w:left="0" w:firstLine="709"/>
        <w:jc w:val="both"/>
        <w:rPr>
          <w:color w:val="000000"/>
        </w:rPr>
      </w:pPr>
      <w:r>
        <w:rPr>
          <w:color w:val="000000"/>
        </w:rPr>
        <w:t>Предоставить Заказчику Банковские гарантии в соответствии с разделом 7 Договора.</w:t>
      </w:r>
    </w:p>
    <w:p>
      <w:pPr>
        <w:pStyle w:val="ListParagraph"/>
        <w:numPr>
          <w:ilvl w:val="2"/>
          <w:numId w:val="4"/>
        </w:numPr>
        <w:tabs>
          <w:tab w:val="clear" w:pos="709"/>
          <w:tab w:val="left" w:pos="1418" w:leader="none"/>
        </w:tabs>
        <w:ind w:left="0" w:firstLine="709"/>
        <w:jc w:val="both"/>
        <w:rPr>
          <w:color w:val="000000"/>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4"/>
        </w:numPr>
        <w:shd w:val="clear" w:color="auto" w:fill="FFFFFF"/>
        <w:tabs>
          <w:tab w:val="clear" w:pos="709"/>
          <w:tab w:val="left" w:pos="1418" w:leader="none"/>
        </w:tabs>
        <w:ind w:left="0" w:firstLine="709"/>
        <w:jc w:val="both"/>
        <w:rPr/>
      </w:pPr>
      <w:r>
        <w:rPr/>
        <w:t xml:space="preserve">Исполнять иные обязанности, предусмотренные Договором </w:t>
        <w:br/>
        <w:t xml:space="preserve">и </w:t>
      </w:r>
      <w:r>
        <w:rPr>
          <w:bCs/>
        </w:rPr>
        <w:t>законодательством Российской Федерации.</w:t>
      </w:r>
      <w:r>
        <w:rPr/>
        <w:t xml:space="preserve"> </w:t>
      </w:r>
    </w:p>
    <w:p>
      <w:pPr>
        <w:pStyle w:val="Normal"/>
        <w:spacing w:lineRule="auto" w:line="240"/>
        <w:rPr>
          <w:sz w:val="24"/>
          <w:szCs w:val="24"/>
        </w:rPr>
      </w:pPr>
      <w:r>
        <w:rPr>
          <w:sz w:val="24"/>
          <w:szCs w:val="24"/>
        </w:rPr>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shd w:val="clear" w:color="auto" w:fill="FFFFFF"/>
        <w:tabs>
          <w:tab w:val="clear" w:pos="709"/>
          <w:tab w:val="left" w:pos="1418" w:leader="none"/>
        </w:tabs>
        <w:ind w:left="0" w:firstLine="709"/>
        <w:jc w:val="both"/>
        <w:rPr>
          <w:bCs/>
          <w:highlight w:val="lightGray"/>
        </w:rPr>
      </w:pPr>
      <w:r>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Pr>
          <w:bCs/>
          <w:shd w:fill="auto" w:val="clear"/>
        </w:rPr>
        <w:t>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pPr>
        <w:pStyle w:val="ListParagraph"/>
        <w:numPr>
          <w:ilvl w:val="2"/>
          <w:numId w:val="4"/>
        </w:numPr>
        <w:shd w:val="clear" w:color="auto" w:fill="FFFFFF"/>
        <w:tabs>
          <w:tab w:val="clear" w:pos="709"/>
          <w:tab w:val="left" w:pos="851" w:leader="none"/>
        </w:tabs>
        <w:ind w:left="0" w:firstLine="709"/>
        <w:jc w:val="both"/>
        <w:rPr>
          <w:bCs/>
        </w:rPr>
      </w:pPr>
      <w:r>
        <w:rPr>
          <w:bCs/>
        </w:rPr>
        <w:t xml:space="preserve">При необходимости по предварительному письменному согласованию </w:t>
        <w:br/>
        <w:t>с Заказчиком заключать договоры субподряда в совокупности не б</w:t>
      </w:r>
      <w:r>
        <w:rPr>
          <w:bCs/>
          <w:shd w:fill="auto" w:val="clear"/>
        </w:rPr>
        <w:t>олее чем на 25  (двадцать пять) п</w:t>
      </w:r>
      <w:r>
        <w:rPr>
          <w:bCs/>
        </w:rPr>
        <w:t>роцентов</w:t>
      </w:r>
      <w:r>
        <w:rPr>
          <w:bCs/>
          <w:vertAlign w:val="superscript"/>
        </w:rPr>
        <w:t xml:space="preserve"> </w:t>
      </w:r>
      <w:r>
        <w:rPr>
          <w:bCs/>
        </w:rPr>
        <w:t>от Цены Договора, неся при этом ответственность за действия Субподрядчиков, как за свои собственные.</w:t>
      </w:r>
    </w:p>
    <w:p>
      <w:pPr>
        <w:pStyle w:val="ListParagraph"/>
        <w:shd w:val="clear" w:color="auto" w:fill="FFFFFF"/>
        <w:tabs>
          <w:tab w:val="clear" w:pos="709"/>
          <w:tab w:val="left" w:pos="851"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30"/>
        </w:numPr>
        <w:shd w:val="clear" w:color="auto" w:fill="FFFFFF"/>
        <w:tabs>
          <w:tab w:val="left" w:pos="709" w:leader="none"/>
          <w:tab w:val="left" w:pos="1418" w:leader="none"/>
        </w:tabs>
        <w:ind w:left="0" w:firstLine="709"/>
        <w:jc w:val="both"/>
        <w:rPr>
          <w:bCs/>
        </w:rPr>
      </w:pPr>
      <w:r>
        <w:rPr>
          <w:bCs/>
        </w:rPr>
        <w:t>проект договора с Субподрядчиком;</w:t>
      </w:r>
    </w:p>
    <w:p>
      <w:pPr>
        <w:pStyle w:val="ListParagraph"/>
        <w:numPr>
          <w:ilvl w:val="0"/>
          <w:numId w:val="30"/>
        </w:numPr>
        <w:shd w:val="clear" w:color="auto" w:fill="FFFFFF"/>
        <w:tabs>
          <w:tab w:val="left" w:pos="709" w:leader="none"/>
          <w:tab w:val="left" w:pos="1418" w:leader="none"/>
        </w:tabs>
        <w:ind w:left="0" w:firstLine="709"/>
        <w:jc w:val="both"/>
        <w:rPr>
          <w:bCs/>
        </w:rPr>
      </w:pPr>
      <w:r>
        <w:rPr>
          <w:bCs/>
        </w:rPr>
        <w:t>сведения об объемах выполнения работ Субподрядчиком;</w:t>
      </w:r>
    </w:p>
    <w:p>
      <w:pPr>
        <w:pStyle w:val="ListParagraph"/>
        <w:numPr>
          <w:ilvl w:val="0"/>
          <w:numId w:val="30"/>
        </w:numPr>
        <w:tabs>
          <w:tab w:val="left" w:pos="709" w:leader="none"/>
        </w:tabs>
        <w:ind w:left="0" w:firstLine="709"/>
        <w:jc w:val="both"/>
        <w:rPr>
          <w:bCs/>
        </w:rPr>
      </w:pPr>
      <w:r>
        <w:rPr>
          <w:bCs/>
        </w:rPr>
        <w:t>пофамильный перечень персонала Субподрядчика, который будет задействован при производстве Работ;</w:t>
      </w:r>
    </w:p>
    <w:p>
      <w:pPr>
        <w:pStyle w:val="ListParagraph"/>
        <w:numPr>
          <w:ilvl w:val="0"/>
          <w:numId w:val="29"/>
        </w:numPr>
        <w:tabs>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widowControl/>
        <w:numPr>
          <w:ilvl w:val="0"/>
          <w:numId w:val="0"/>
        </w:numPr>
        <w:suppressAutoHyphens w:val="true"/>
        <w:bidi w:val="0"/>
        <w:spacing w:lineRule="auto" w:line="240" w:before="0" w:after="0"/>
        <w:ind w:left="0" w:hanging="0"/>
        <w:contextualSpacing/>
        <w:jc w:val="both"/>
        <w:rPr>
          <w:bCs/>
          <w:highlight w:val="lightGray"/>
        </w:rPr>
      </w:pPr>
      <w:r>
        <w:rPr>
          <w:bCs/>
          <w:highlight w:val="lightGray"/>
        </w:rPr>
      </w:r>
    </w:p>
    <w:p>
      <w:pPr>
        <w:pStyle w:val="ListParagraph"/>
        <w:numPr>
          <w:ilvl w:val="0"/>
          <w:numId w:val="4"/>
        </w:numPr>
        <w:shd w:val="clear" w:color="auto" w:fill="FFFFFF"/>
        <w:tabs>
          <w:tab w:val="clear" w:pos="709"/>
          <w:tab w:val="left" w:pos="284" w:leader="none"/>
        </w:tabs>
        <w:ind w:left="0" w:hanging="0"/>
        <w:jc w:val="center"/>
        <w:rPr/>
      </w:pPr>
      <w:r>
        <w:rPr>
          <w:b/>
          <w:bCs/>
        </w:rPr>
        <w:t>Цена Договора и порядок расчетов</w:t>
      </w:r>
    </w:p>
    <w:p>
      <w:pPr>
        <w:pStyle w:val="ListParagraph"/>
        <w:numPr>
          <w:ilvl w:val="2"/>
          <w:numId w:val="4"/>
        </w:numPr>
        <w:shd w:val="clear" w:color="auto" w:fill="FFFFFF"/>
        <w:tabs>
          <w:tab w:val="clear" w:pos="709"/>
          <w:tab w:val="left" w:pos="1418" w:leader="none"/>
        </w:tabs>
        <w:ind w:left="0" w:firstLine="709"/>
        <w:jc w:val="both"/>
        <w:rPr>
          <w:highlight w:val="none"/>
          <w:shd w:fill="auto" w:val="clear"/>
        </w:rPr>
      </w:pPr>
      <w:r>
        <w:rPr>
          <w:bCs/>
          <w:shd w:fill="auto" w:val="clear"/>
        </w:rPr>
        <w:t xml:space="preserve">Цена Договора в соответствии со Сметой Договора с приложениями (Приложение № 4 к Договору) является предельной и составляет </w:t>
      </w:r>
      <w:r>
        <w:rPr>
          <w:bCs/>
          <w:shd w:fill="auto" w:val="clear"/>
        </w:rPr>
        <w:t>_________</w:t>
      </w:r>
      <w:r>
        <w:rPr>
          <w:bCs/>
          <w:shd w:fill="auto" w:val="clear"/>
        </w:rPr>
        <w:t xml:space="preserve"> (</w:t>
      </w:r>
      <w:r>
        <w:rPr>
          <w:bCs/>
          <w:shd w:fill="auto" w:val="clear"/>
        </w:rPr>
        <w:t>___________</w:t>
      </w:r>
      <w:r>
        <w:rPr>
          <w:bCs/>
          <w:shd w:fill="auto" w:val="clear"/>
        </w:rPr>
        <w:t>) рубл</w:t>
      </w:r>
      <w:r>
        <w:rPr>
          <w:bCs/>
          <w:shd w:fill="auto" w:val="clear"/>
        </w:rPr>
        <w:t>ей __</w:t>
      </w:r>
      <w:r>
        <w:rPr>
          <w:bCs/>
          <w:shd w:fill="auto" w:val="clear"/>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 «НК РФ»). </w:t>
      </w:r>
    </w:p>
    <w:p>
      <w:pPr>
        <w:pStyle w:val="ListParagraph"/>
        <w:numPr>
          <w:ilvl w:val="2"/>
          <w:numId w:val="4"/>
        </w:numPr>
        <w:shd w:val="clear" w:color="auto" w:fill="FFFFFF"/>
        <w:tabs>
          <w:tab w:val="clear" w:pos="709"/>
          <w:tab w:val="left" w:pos="1418" w:leader="none"/>
        </w:tabs>
        <w:ind w:left="0" w:firstLine="709"/>
        <w:jc w:val="both"/>
        <w:rPr>
          <w:highlight w:val="none"/>
          <w:shd w:fill="auto" w:val="clear"/>
        </w:rPr>
      </w:pPr>
      <w:r>
        <w:rPr>
          <w:shd w:fill="auto" w:val="clear"/>
        </w:rPr>
        <w:t>Предельная</w:t>
      </w:r>
      <w:r>
        <w:rPr>
          <w:bCs/>
          <w:shd w:fill="auto" w:val="clear"/>
        </w:rPr>
        <w:t xml:space="preserve"> цена Оборудования составляет </w:t>
      </w:r>
      <w:r>
        <w:rPr>
          <w:bCs/>
          <w:shd w:fill="auto" w:val="clear"/>
        </w:rPr>
        <w:t>_______</w:t>
      </w:r>
      <w:r>
        <w:rPr>
          <w:bCs/>
          <w:shd w:fill="auto" w:val="clear"/>
        </w:rPr>
        <w:t xml:space="preserve"> (</w:t>
      </w:r>
      <w:r>
        <w:rPr>
          <w:bCs/>
          <w:shd w:fill="auto" w:val="clear"/>
        </w:rPr>
        <w:t xml:space="preserve">___________) </w:t>
      </w:r>
      <w:r>
        <w:rPr>
          <w:bCs/>
          <w:shd w:fill="auto" w:val="clear"/>
        </w:rPr>
        <w:t xml:space="preserve">рублей </w:t>
      </w:r>
      <w:r>
        <w:rPr>
          <w:bCs/>
          <w:shd w:fill="auto" w:val="clear"/>
        </w:rPr>
        <w:t>__</w:t>
      </w:r>
      <w:r>
        <w:rPr>
          <w:bCs/>
          <w:shd w:fill="auto" w:val="clear"/>
        </w:rPr>
        <w:t xml:space="preserve"> копе</w:t>
      </w:r>
      <w:r>
        <w:rPr>
          <w:bCs/>
          <w:shd w:fill="auto" w:val="clear"/>
        </w:rPr>
        <w:t>е</w:t>
      </w:r>
      <w:r>
        <w:rPr>
          <w:bCs/>
          <w:shd w:fill="auto" w:val="clear"/>
        </w:rPr>
        <w:t>к без учета НДС, при этом НДС исчисляется дополнительно по ставке, установленной статьей 164 НК РФ.</w:t>
      </w:r>
    </w:p>
    <w:p>
      <w:pPr>
        <w:pStyle w:val="ListParagraph"/>
        <w:numPr>
          <w:ilvl w:val="2"/>
          <w:numId w:val="4"/>
        </w:numPr>
        <w:shd w:val="clear" w:color="auto" w:fill="FFFFFF"/>
        <w:tabs>
          <w:tab w:val="clear" w:pos="709"/>
          <w:tab w:val="left" w:pos="1418" w:leader="none"/>
        </w:tabs>
        <w:ind w:left="0" w:firstLine="709"/>
        <w:jc w:val="both"/>
        <w:rPr>
          <w:highlight w:val="none"/>
          <w:shd w:fill="auto" w:val="clear"/>
        </w:rPr>
      </w:pPr>
      <w:r>
        <w:rPr>
          <w:bCs/>
          <w:shd w:fill="auto" w:val="clear"/>
        </w:rPr>
        <w:t xml:space="preserve">Предельная  цена Работ (без учета Оборудования) составляет </w:t>
      </w:r>
      <w:r>
        <w:rPr>
          <w:bCs/>
          <w:shd w:fill="auto" w:val="clear"/>
        </w:rPr>
        <w:t>____________</w:t>
      </w:r>
      <w:r>
        <w:rPr>
          <w:bCs/>
          <w:shd w:fill="auto" w:val="clear"/>
        </w:rPr>
        <w:t xml:space="preserve"> (</w:t>
      </w:r>
      <w:r>
        <w:rPr>
          <w:bCs/>
          <w:shd w:fill="auto" w:val="clear"/>
        </w:rPr>
        <w:t>____________</w:t>
      </w:r>
      <w:r>
        <w:rPr>
          <w:bCs/>
          <w:shd w:fill="auto" w:val="clear"/>
        </w:rPr>
        <w:t xml:space="preserve">) рублей </w:t>
      </w:r>
      <w:r>
        <w:rPr>
          <w:bCs/>
          <w:shd w:fill="auto" w:val="clear"/>
        </w:rPr>
        <w:t>__</w:t>
      </w:r>
      <w:r>
        <w:rPr>
          <w:bCs/>
          <w:shd w:fill="auto" w:val="clear"/>
        </w:rPr>
        <w:t xml:space="preserve"> копе</w:t>
      </w:r>
      <w:r>
        <w:rPr>
          <w:bCs/>
          <w:shd w:fill="auto" w:val="clear"/>
        </w:rPr>
        <w:t>е</w:t>
      </w:r>
      <w:r>
        <w:rPr>
          <w:bCs/>
          <w:shd w:fill="auto" w:val="clear"/>
        </w:rPr>
        <w:t>к без учета НДС, при этом НДС исчисляется дополнительно по ставке, установленной статьей 164 НК РФ..</w:t>
      </w:r>
    </w:p>
    <w:p>
      <w:pPr>
        <w:pStyle w:val="ListParagraph"/>
        <w:numPr>
          <w:ilvl w:val="1"/>
          <w:numId w:val="4"/>
        </w:numPr>
        <w:shd w:val="clear" w:color="auto" w:fill="FFFFFF"/>
        <w:tabs>
          <w:tab w:val="clear" w:pos="709"/>
          <w:tab w:val="left" w:pos="1134" w:leader="none"/>
        </w:tabs>
        <w:ind w:left="0" w:firstLine="709"/>
        <w:jc w:val="both"/>
        <w:rPr>
          <w:highlight w:val="none"/>
          <w:shd w:fill="auto" w:val="clear"/>
        </w:rPr>
      </w:pPr>
      <w:bookmarkStart w:id="13" w:name="_Ref361834605"/>
      <w:bookmarkEnd w:id="13"/>
      <w:r>
        <w:rPr>
          <w:bCs/>
          <w:color w:val="000000"/>
          <w:shd w:fill="auto" w:val="clear"/>
        </w:rPr>
        <w:t>Спецификация Оборудования (по форме Приложения № 2 к Договору), Смета Договора (Приложение № 4 к Договору) и Календарный график поставки Оборудования и выполнения Работ (Приложение № 3 к Договору) подлежат согласованию/уточнению Сторонами в следующем порядке:</w:t>
      </w:r>
    </w:p>
    <w:p>
      <w:pPr>
        <w:pStyle w:val="ListParagraph"/>
        <w:shd w:val="clear" w:color="auto" w:fill="FFFFFF"/>
        <w:tabs>
          <w:tab w:val="clear" w:pos="709"/>
          <w:tab w:val="left" w:pos="1134" w:leader="none"/>
        </w:tabs>
        <w:ind w:left="0" w:firstLine="709"/>
        <w:jc w:val="both"/>
        <w:rPr>
          <w:highlight w:val="none"/>
          <w:shd w:fill="auto" w:val="clear"/>
        </w:rPr>
      </w:pPr>
      <w:bookmarkStart w:id="14" w:name="_Ref361834605_Копия_1"/>
      <w:bookmarkStart w:id="15" w:name="_Ref361335465_Копия_1"/>
      <w:bookmarkEnd w:id="14"/>
      <w:bookmarkEnd w:id="15"/>
      <w:r>
        <w:rPr>
          <w:bCs/>
          <w:shd w:fill="auto" w:val="clear"/>
        </w:rPr>
        <w:t xml:space="preserve">4.2.1. </w:t>
      </w:r>
      <w:r>
        <w:rPr>
          <w:bCs/>
          <w:color w:val="000000"/>
          <w:shd w:fill="auto" w:val="clear"/>
        </w:rPr>
        <w:t>Спецификация Оборудования (по форме Приложения № 2 к Договору) подлежит согласованию Сторонами не позднее истечения 30 (тридцати) календарных дней с даты выдачи Заказчиком «в производство» Рабочей документации и включается в Договор в качестве приложения путем заключения дополнительного соглашения к Договору.</w:t>
      </w:r>
    </w:p>
    <w:p>
      <w:pPr>
        <w:pStyle w:val="ListParagraph"/>
        <w:shd w:val="clear" w:color="auto" w:fill="FFFFFF"/>
        <w:tabs>
          <w:tab w:val="clear" w:pos="709"/>
          <w:tab w:val="left" w:pos="1134" w:leader="none"/>
        </w:tabs>
        <w:ind w:left="0" w:firstLine="709"/>
        <w:jc w:val="both"/>
        <w:rPr>
          <w:color w:val="000000"/>
        </w:rPr>
      </w:pPr>
      <w:r>
        <w:rPr>
          <w:bCs/>
          <w:color w:val="000000"/>
        </w:rPr>
        <w:t>4.2.2. Смета Договора (Приложение № 4 к Договору) подлежит уточнению Сторонами не позднее истечения 30 (тридцати) календарных дней с даты выдачи Подрядчику «в производство» соответствующих комплектов утвержденной Рабочей документации, путём заключения дополнительного соглашения к Договору.</w:t>
      </w:r>
    </w:p>
    <w:p>
      <w:pPr>
        <w:pStyle w:val="ListParagraph"/>
        <w:shd w:val="clear" w:color="auto" w:fill="FFFFFF"/>
        <w:tabs>
          <w:tab w:val="clear" w:pos="709"/>
          <w:tab w:val="left" w:pos="1134" w:leader="none"/>
        </w:tabs>
        <w:ind w:left="0" w:firstLine="709"/>
        <w:jc w:val="both"/>
        <w:rPr>
          <w:color w:val="000000"/>
        </w:rPr>
      </w:pPr>
      <w:r>
        <w:rPr>
          <w:bCs/>
          <w:color w:val="000000"/>
        </w:rPr>
        <w:t xml:space="preserve">4.2.3. При неуточнении/несогласовании документов, указанных в п. 4.2.1, п. 4.2.2 Договора,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уточнения. При недостижении такого уточнения/согласования в срок, превышающий 30 (тридцать) календарных дней, Заказчик вправе в одностороннем внесудебном порядке отказаться от Договора. </w:t>
      </w:r>
    </w:p>
    <w:p>
      <w:pPr>
        <w:pStyle w:val="ListParagraph"/>
        <w:shd w:val="clear" w:color="auto" w:fill="FFFFFF"/>
        <w:tabs>
          <w:tab w:val="clear" w:pos="709"/>
          <w:tab w:val="left" w:pos="1134" w:leader="none"/>
        </w:tabs>
        <w:ind w:left="0" w:firstLine="709"/>
        <w:jc w:val="both"/>
        <w:rPr>
          <w:color w:val="000000"/>
        </w:rPr>
      </w:pPr>
      <w:r>
        <w:rPr>
          <w:bCs/>
          <w:color w:val="000000"/>
        </w:rPr>
        <w:t xml:space="preserve">4.2.4. Одновременно с согласованием Спецификации Оборудования (по форме Приложения № 2 к Договору) и/или уточнением Сметы Договора (Приложение № 4 к Договору) </w:t>
      </w:r>
      <w:r>
        <w:rPr>
          <w:color w:val="000000"/>
        </w:rPr>
        <w:t>подлежит уточнению Сторонами Календарный график поставки Оборудования и выполнения Работ (Приложение № 3 к Договору).</w:t>
      </w:r>
    </w:p>
    <w:p>
      <w:pPr>
        <w:pStyle w:val="ListParagraph"/>
        <w:shd w:val="clear" w:color="auto" w:fill="FFFFFF"/>
        <w:tabs>
          <w:tab w:val="clear" w:pos="709"/>
          <w:tab w:val="left" w:pos="1134" w:leader="none"/>
        </w:tabs>
        <w:ind w:left="0" w:firstLine="709"/>
        <w:jc w:val="both"/>
        <w:rPr>
          <w:color w:val="000000"/>
        </w:rPr>
      </w:pPr>
      <w:r>
        <w:rPr>
          <w:bCs/>
          <w:color w:val="000000"/>
        </w:rPr>
        <w:t xml:space="preserve">4.2.5. Твердая стоимость Этапов Работ определяется </w:t>
      </w:r>
      <w:r>
        <w:rPr>
          <w:color w:val="000000"/>
        </w:rPr>
        <w:t>не позднее истечения 30 (тридцати) календарных дней с даты выдачи Подрядчику «в производство» соответствующих комплектов утвержденной Рабочей документации</w:t>
      </w:r>
      <w:r>
        <w:rPr>
          <w:bCs/>
          <w:color w:val="000000"/>
        </w:rPr>
        <w:t xml:space="preserve">, в пределах Цены Договора, с уточнением Сметы Договора с приложением (Приложение № 4 к Договору) и Календарного графика поставки Оборудования и выполнения Работ (Приложение № 3 к Договору) путем заключения дополнительного соглашения к Договору. </w:t>
      </w:r>
    </w:p>
    <w:p>
      <w:pPr>
        <w:pStyle w:val="ListParagraph"/>
        <w:shd w:val="clear" w:color="auto" w:fill="FFFFFF"/>
        <w:tabs>
          <w:tab w:val="clear" w:pos="709"/>
          <w:tab w:val="left" w:pos="1134" w:leader="none"/>
        </w:tabs>
        <w:ind w:left="0" w:firstLine="709"/>
        <w:jc w:val="both"/>
        <w:rPr>
          <w:highlight w:val="none"/>
          <w:shd w:fill="auto" w:val="clear"/>
        </w:rPr>
      </w:pPr>
      <w:r>
        <w:rPr>
          <w:bCs/>
          <w:color w:val="000000"/>
          <w:shd w:fill="auto" w:val="clear"/>
        </w:rPr>
        <w:t>После определения твердой стоимости Этапов Работ, Подрядчик не вправе требовать увеличения твердой цены Этапа Работ, а Заказчик её уменьшения, в том числе в случае корректировки выданной «в производство» Рабочей документации, на основании которой была сформирована твердая цена соответствующего Этапа Работ.</w:t>
      </w:r>
    </w:p>
    <w:p>
      <w:pPr>
        <w:pStyle w:val="ListParagraph"/>
        <w:numPr>
          <w:ilvl w:val="1"/>
          <w:numId w:val="4"/>
        </w:numPr>
        <w:shd w:val="clear" w:color="auto" w:fill="FFFFFF"/>
        <w:tabs>
          <w:tab w:val="clear" w:pos="709"/>
          <w:tab w:val="left" w:pos="1134" w:leader="none"/>
        </w:tabs>
        <w:ind w:left="0" w:firstLine="709"/>
        <w:jc w:val="both"/>
        <w:rPr>
          <w:highlight w:val="none"/>
          <w:shd w:fill="auto" w:val="clear"/>
        </w:rPr>
      </w:pPr>
      <w:r>
        <w:rPr>
          <w:bCs/>
          <w:shd w:fill="auto" w:val="clear"/>
        </w:rPr>
        <w:t xml:space="preserve">Цена Договора включает в себя прибыль Подрядчика, а также все расходы </w:t>
        <w:br/>
        <w:t>и затраты Подрядчика на:</w:t>
      </w:r>
    </w:p>
    <w:p>
      <w:pPr>
        <w:pStyle w:val="ListParagraph"/>
        <w:numPr>
          <w:ilvl w:val="2"/>
          <w:numId w:val="4"/>
        </w:numPr>
        <w:shd w:val="clear" w:color="auto" w:fill="FFFFFF"/>
        <w:tabs>
          <w:tab w:val="clear" w:pos="709"/>
          <w:tab w:val="left" w:pos="1418" w:leader="none"/>
        </w:tabs>
        <w:ind w:left="0" w:firstLine="709"/>
        <w:jc w:val="both"/>
        <w:rPr>
          <w:bCs/>
        </w:rPr>
      </w:pPr>
      <w:r>
        <w:rPr>
          <w:bCs/>
        </w:rPr>
        <w:t>Производство или приобретение Оборудования, его транспортировку до Места постав</w:t>
      </w:r>
      <w:r>
        <w:rPr>
          <w:bCs/>
          <w:shd w:fill="auto" w:val="clear"/>
        </w:rPr>
        <w:t>ки Оборудования (в том числе перемещение по территории Заказчика), погрузку, разгрузку, стоимость тары и упаковки, монтаж и пусконаладочные работы,</w:t>
      </w:r>
      <w:r>
        <w:rPr>
          <w:shd w:fill="auto" w:val="clear"/>
        </w:rPr>
        <w:t xml:space="preserve"> </w:t>
      </w:r>
      <w:r>
        <w:rPr>
          <w:bCs/>
          <w:shd w:fill="auto" w:val="clear"/>
        </w:rPr>
        <w:t xml:space="preserve">включая стоимость необходимых для эксплуатации Оборудования лицензий. </w:t>
      </w:r>
    </w:p>
    <w:p>
      <w:pPr>
        <w:pStyle w:val="ListParagraph"/>
        <w:numPr>
          <w:ilvl w:val="2"/>
          <w:numId w:val="4"/>
        </w:numPr>
        <w:shd w:val="clear" w:color="auto" w:fill="FFFFFF"/>
        <w:tabs>
          <w:tab w:val="clear" w:pos="709"/>
          <w:tab w:val="left" w:pos="1418" w:leader="none"/>
        </w:tabs>
        <w:ind w:left="0" w:firstLine="709"/>
        <w:jc w:val="both"/>
        <w:rPr/>
      </w:pPr>
      <w:r>
        <w:rPr>
          <w:shd w:fill="auto" w:val="clear"/>
        </w:rPr>
        <w:t>Поставку, разгрузку (в том числе перемещение по территории Заказчика), стоимость тары и упаковки, монтаж и пу</w:t>
      </w:r>
      <w:r>
        <w:rPr/>
        <w:t>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4"/>
        </w:numPr>
        <w:shd w:val="clear" w:color="auto" w:fill="FFFFFF"/>
        <w:tabs>
          <w:tab w:val="clear" w:pos="709"/>
          <w:tab w:val="left" w:pos="1418" w:leader="none"/>
        </w:tabs>
        <w:ind w:left="0" w:firstLine="709"/>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4"/>
        </w:numPr>
        <w:shd w:val="clear" w:color="auto" w:fill="FFFFFF"/>
        <w:tabs>
          <w:tab w:val="clear" w:pos="709"/>
          <w:tab w:val="left" w:pos="1418" w:leader="none"/>
        </w:tabs>
        <w:ind w:left="0" w:firstLine="709"/>
        <w:jc w:val="both"/>
        <w:rPr/>
      </w:pPr>
      <w: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4"/>
        </w:numPr>
        <w:shd w:val="clear" w:color="auto" w:fill="FFFFFF"/>
        <w:tabs>
          <w:tab w:val="clear" w:pos="709"/>
          <w:tab w:val="left" w:pos="1418" w:leader="none"/>
        </w:tabs>
        <w:ind w:left="0" w:firstLine="709"/>
        <w:jc w:val="both"/>
        <w:rPr/>
      </w:pPr>
      <w:r>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shd w:val="clear" w:color="auto" w:fill="FFFFFF"/>
        <w:tabs>
          <w:tab w:val="clear" w:pos="709"/>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shd w:val="clear" w:color="auto" w:fill="FFFFFF"/>
        <w:tabs>
          <w:tab w:val="clear" w:pos="709"/>
          <w:tab w:val="left" w:pos="1134" w:leader="none"/>
        </w:tabs>
        <w:ind w:left="0" w:firstLine="709"/>
        <w:jc w:val="both"/>
        <w:rPr>
          <w:bCs/>
        </w:rPr>
      </w:pPr>
      <w:bookmarkStart w:id="16" w:name="_Ref361858588"/>
      <w:bookmarkStart w:id="17" w:name="_Ref361834675"/>
      <w:r>
        <w:rPr>
          <w:bCs/>
        </w:rPr>
        <w:t>Оплата по Договору осуществляется Заказчиком в следующем порядке:</w:t>
      </w:r>
      <w:bookmarkEnd w:id="16"/>
      <w:bookmarkEnd w:id="17"/>
      <w:r>
        <w:rPr>
          <w:bCs/>
        </w:rPr>
        <w:t xml:space="preserve"> </w:t>
      </w:r>
    </w:p>
    <w:p>
      <w:pPr>
        <w:pStyle w:val="ListParagraph"/>
        <w:numPr>
          <w:ilvl w:val="2"/>
          <w:numId w:val="4"/>
        </w:numPr>
        <w:shd w:val="clear" w:color="auto" w:fill="FFFFFF"/>
        <w:tabs>
          <w:tab w:val="clear" w:pos="709"/>
          <w:tab w:val="left" w:pos="1418" w:leader="none"/>
        </w:tabs>
        <w:ind w:left="0" w:firstLine="709"/>
        <w:jc w:val="both"/>
        <w:rPr/>
      </w:pPr>
      <w:bookmarkStart w:id="18" w:name="_Ref361335057"/>
      <w:bookmarkStart w:id="19" w:name="_Ref373242755"/>
      <w:bookmarkEnd w:id="18"/>
      <w:bookmarkEnd w:id="19"/>
      <w:r>
        <w:rPr/>
        <w:t>Подрядчик не позднее 3 (трех)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p>
    <w:p>
      <w:pPr>
        <w:pStyle w:val="ListParagraph"/>
        <w:numPr>
          <w:ilvl w:val="2"/>
          <w:numId w:val="4"/>
        </w:numPr>
        <w:shd w:val="clear" w:color="auto" w:fill="FFFFFF"/>
        <w:tabs>
          <w:tab w:val="clear" w:pos="709"/>
          <w:tab w:val="left" w:pos="1418" w:leader="none"/>
        </w:tabs>
        <w:ind w:left="0" w:firstLine="709"/>
        <w:jc w:val="both"/>
        <w:rPr/>
      </w:pPr>
      <w:r>
        <w:rPr/>
        <w:t xml:space="preserve">Авансовые платежи за каждую Партию Оборудования в размере не более 30  (тридцати) процентов от стоимости соответствующей Партии Оборудования без учета НДС, кроме того НДС по ставке, установленной статьей 164 НК РФ на дату выплаты авансового платежа, выплачиваются Заказчиком в течение 30 (тридцати) календарных дней с даты получения Заказчиком счета, выставленного Подрядчиком, </w:t>
      </w:r>
      <w:r>
        <w:rPr>
          <w:shd w:fill="auto" w:val="clear"/>
        </w:rPr>
        <w:t xml:space="preserve">но не ранее чем за 30 (тридцати) календарных дней до плановой даты поставки / начала изготовления Партии Оборудования, указанной в Календарном графике поставки Оборудования и выполнения Работ ( Приложение </w:t>
      </w:r>
      <w:r>
        <w:rPr>
          <w:rFonts w:eastAsia="Times New Roman" w:cs="Times New Roman"/>
          <w:color w:val="000000"/>
          <w:kern w:val="0"/>
          <w:sz w:val="24"/>
          <w:szCs w:val="24"/>
          <w:shd w:fill="auto" w:val="clear"/>
          <w:lang w:val="ru-RU" w:eastAsia="ru-RU" w:bidi="ar-SA"/>
        </w:rPr>
        <w:t xml:space="preserve">№3 к договору), </w:t>
      </w:r>
      <w:r>
        <w:rPr>
          <w:shd w:fill="auto" w:val="clear"/>
        </w:rPr>
        <w:t>и с учетом пунктов 4.5.1, 4.5.7 Договора.</w:t>
      </w:r>
    </w:p>
    <w:p>
      <w:pPr>
        <w:pStyle w:val="ListParagraph"/>
        <w:numPr>
          <w:ilvl w:val="2"/>
          <w:numId w:val="4"/>
        </w:numPr>
        <w:shd w:val="clear" w:color="auto" w:fill="FFFFFF"/>
        <w:tabs>
          <w:tab w:val="left" w:pos="709" w:leader="none"/>
        </w:tabs>
        <w:ind w:left="0" w:firstLine="709"/>
        <w:jc w:val="both"/>
        <w:rPr/>
      </w:pPr>
      <w:bookmarkStart w:id="20" w:name="_Ref373242766"/>
      <w:bookmarkStart w:id="21" w:name="_Ref373242755_Копия_1"/>
      <w:bookmarkStart w:id="22" w:name="_Ref361335057_Копия_1"/>
      <w:bookmarkStart w:id="23" w:name="_Ref361834178"/>
      <w:bookmarkEnd w:id="21"/>
      <w:bookmarkEnd w:id="22"/>
      <w:bookmarkEnd w:id="23"/>
      <w:r>
        <w:rPr/>
        <w:t>Авансовые платежи в счет стоимости каждого Этапа Работ в размере не более 30  (тридцати) процентов от стоимости соответствующего Этапа Работ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начала выполнения Этапа Работ, определенной в соответствии с Календарным графиком поставки Оборудования и выполнения Работ (Приложение № 3 к Договору), и с учетом пунктов 4.5.1, 4.5.7 Договора.</w:t>
      </w:r>
      <w:bookmarkEnd w:id="20"/>
    </w:p>
    <w:p>
      <w:pPr>
        <w:pStyle w:val="ListParagraph"/>
        <w:shd w:val="clear" w:color="auto" w:fill="FFFFFF"/>
        <w:tabs>
          <w:tab w:val="left" w:pos="709" w:leader="none"/>
        </w:tabs>
        <w:ind w:left="0" w:firstLine="709"/>
        <w:jc w:val="both"/>
        <w:rPr/>
      </w:pPr>
      <w:r>
        <w:rPr/>
        <w:t>Заказчик имеет право выплачивать аванс Подрядчику частями, в таком случае остаток неотработанного (непогашенного) аванса с учетом выплачиваемой суммы аванса не должен превышать 30 (тридцати) процентов от остатка стоимости не предъявленных работ по Актам освидетельствования выполненных работ на дату такой выплаты.</w:t>
      </w:r>
    </w:p>
    <w:p>
      <w:pPr>
        <w:pStyle w:val="ListParagraph"/>
        <w:numPr>
          <w:ilvl w:val="2"/>
          <w:numId w:val="4"/>
        </w:numPr>
        <w:shd w:val="clear" w:color="auto" w:fill="FFFFFF"/>
        <w:tabs>
          <w:tab w:val="left" w:pos="709" w:leader="none"/>
        </w:tabs>
        <w:ind w:left="0" w:firstLine="709"/>
        <w:jc w:val="both"/>
        <w:rPr/>
      </w:pPr>
      <w:bookmarkStart w:id="24" w:name="_Ref373242949"/>
      <w:r>
        <w:rPr/>
        <w:t>Последующие платежи в размере разницы между стоимостью Партии Оборудования, определенной с учетом НДС</w:t>
      </w:r>
      <w:r>
        <w:rPr>
          <w:bCs/>
        </w:rPr>
        <w:t xml:space="preserve"> по ставке, установленной статьей 164 НК РФ на дату подписания Накладной ТОРГ-12</w:t>
      </w:r>
      <w:r>
        <w:rPr>
          <w:bCs/>
          <w:color w:val="000000"/>
          <w:sz w:val="24"/>
          <w:szCs w:val="24"/>
        </w:rPr>
        <w:t>/УПД</w:t>
      </w:r>
      <w:r>
        <w:rPr>
          <w:bCs/>
        </w:rPr>
        <w:t xml:space="preserve">, </w:t>
      </w:r>
      <w:r>
        <w:rPr/>
        <w:t xml:space="preserve">и </w:t>
      </w:r>
      <w:r>
        <w:rPr>
          <w:bCs/>
        </w:rPr>
        <w:t>суммой</w:t>
      </w:r>
      <w:r>
        <w:rPr/>
        <w:t xml:space="preserve"> </w:t>
      </w:r>
      <w:r>
        <w:rPr>
          <w:bCs/>
        </w:rPr>
        <w:t>авансового платежа, ранее уплаченного</w:t>
      </w:r>
      <w:r>
        <w:rPr/>
        <w:t xml:space="preserve"> Заказчиком в соответствии с пунктом 4.5.2 Договора, выплачиваются в течение </w:t>
      </w:r>
      <w:r>
        <w:rPr>
          <w:highlight w:val="lightGray"/>
        </w:rPr>
        <w:t>20 (двадцати) календарных дней</w:t>
      </w:r>
      <w:r>
        <w:rPr>
          <w:rStyle w:val="FootnoteReference"/>
          <w:highlight w:val="lightGray"/>
        </w:rPr>
        <w:footnoteReference w:id="2"/>
      </w:r>
      <w:r>
        <w:rPr>
          <w:highlight w:val="lightGray"/>
        </w:rPr>
        <w:t xml:space="preserve"> / 45 (сорока пяти) календарных дней</w:t>
      </w:r>
      <w:r>
        <w:rPr>
          <w:rStyle w:val="FootnoteReference"/>
          <w:highlight w:val="lightGray"/>
        </w:rPr>
        <w:footnoteReference w:id="3"/>
      </w:r>
      <w:r>
        <w:rPr>
          <w:highlight w:val="lightGray"/>
        </w:rPr>
        <w:t xml:space="preserve"> / 7 (семи) рабочих дней</w:t>
      </w:r>
      <w:r>
        <w:rPr>
          <w:rStyle w:val="FootnoteReference"/>
          <w:highlight w:val="lightGray"/>
        </w:rPr>
        <w:footnoteReference w:id="4"/>
      </w:r>
      <w:r>
        <w:rPr/>
        <w:t xml:space="preserve"> с даты подписания Сторонами Накладной ТОРГ-12</w:t>
      </w:r>
      <w:r>
        <w:rPr>
          <w:color w:val="000000"/>
          <w:sz w:val="24"/>
          <w:szCs w:val="24"/>
        </w:rPr>
        <w:t>/УПД</w:t>
      </w:r>
      <w:r>
        <w:rPr/>
        <w:t>, на основании счета, выставленного Подрядчиком, и с учетом пунктов 4.5.7, 4.5.8 Д</w:t>
      </w:r>
      <w:bookmarkEnd w:id="24"/>
      <w:r>
        <w:rPr/>
        <w:t>оговора.</w:t>
      </w:r>
    </w:p>
    <w:p>
      <w:pPr>
        <w:pStyle w:val="ListParagraph"/>
        <w:numPr>
          <w:ilvl w:val="2"/>
          <w:numId w:val="4"/>
        </w:numPr>
        <w:shd w:val="clear" w:color="auto" w:fill="FFFFFF"/>
        <w:tabs>
          <w:tab w:val="left" w:pos="709" w:leader="none"/>
        </w:tabs>
        <w:ind w:left="0" w:firstLine="709"/>
        <w:jc w:val="both"/>
        <w:rPr/>
      </w:pPr>
      <w:r>
        <w:rPr/>
        <w:t xml:space="preserve">Последующие платежи в размере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w:t>
      </w:r>
      <w:r>
        <w:rPr>
          <w:highlight w:val="lightGray"/>
        </w:rPr>
        <w:t>20 (двадцати) календарных дней</w:t>
      </w:r>
      <w:r>
        <w:rPr>
          <w:rStyle w:val="FootnoteReference"/>
          <w:highlight w:val="lightGray"/>
        </w:rPr>
        <w:footnoteReference w:id="5"/>
      </w:r>
      <w:r>
        <w:rPr>
          <w:highlight w:val="lightGray"/>
        </w:rPr>
        <w:t xml:space="preserve"> / 45 (сорока пяти) календарных дней</w:t>
      </w:r>
      <w:r>
        <w:rPr>
          <w:rStyle w:val="FootnoteReference"/>
          <w:highlight w:val="lightGray"/>
        </w:rPr>
        <w:footnoteReference w:id="6"/>
      </w:r>
      <w:r>
        <w:rPr>
          <w:highlight w:val="lightGray"/>
        </w:rPr>
        <w:t xml:space="preserve"> / 7 (семи) рабочих дней</w:t>
      </w:r>
      <w:r>
        <w:rPr>
          <w:rStyle w:val="FootnoteReference"/>
          <w:highlight w:val="lightGray"/>
        </w:rPr>
        <w:footnoteReference w:id="7"/>
      </w:r>
      <w:r>
        <w:rPr/>
        <w:t xml:space="preserve"> с даты подписания Сторонами документов, указанных в пункте 5.1 Договора, на основании счета, выставленного Подрядчиком, и с учетом пунктов 4.5.7, 4.5.8 Договора.</w:t>
      </w:r>
    </w:p>
    <w:p>
      <w:pPr>
        <w:pStyle w:val="ListParagraph"/>
        <w:shd w:val="clear" w:color="auto" w:fill="FFFFFF"/>
        <w:tabs>
          <w:tab w:val="left" w:pos="709" w:leader="none"/>
        </w:tabs>
        <w:ind w:left="0" w:firstLine="709"/>
        <w:jc w:val="both"/>
        <w:rPr/>
      </w:pPr>
      <w:r>
        <w:rPr/>
        <w:t>При этом, при осуществлении платежа применяется удержание авансового платежа, выплаченного в соответствии с пунктом 4.5.3 Договора. Доля авансового платежа, предназначающаяся к вычету, определяется как отношение суммы неотработанного аванса по Этапу Работ, уплаченного в соответствии с пунктом 4.5.3 Договора к остатку стоимости не предъявленных работ по Актам освидетельствования выполненных работ по соответствующему Этапу Работ на момент принятия Актов освидетельствования выполненных работ.</w:t>
      </w:r>
    </w:p>
    <w:p>
      <w:pPr>
        <w:pStyle w:val="ListParagraph"/>
        <w:shd w:val="clear" w:color="auto" w:fill="FFFFFF"/>
        <w:tabs>
          <w:tab w:val="clear" w:pos="709"/>
          <w:tab w:val="left" w:pos="1418" w:leader="none"/>
        </w:tabs>
        <w:ind w:left="0" w:firstLine="709"/>
        <w:jc w:val="both"/>
        <w:rPr/>
      </w:pPr>
      <w:r>
        <w:rPr/>
        <w:t xml:space="preserve">Платеж, совершаемый на основании документа, указанного в пункте 5.1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pPr>
        <w:pStyle w:val="ListParagraph"/>
        <w:numPr>
          <w:ilvl w:val="2"/>
          <w:numId w:val="25"/>
        </w:numPr>
        <w:shd w:val="clear" w:color="auto" w:fill="FFFFFF"/>
        <w:tabs>
          <w:tab w:val="clear" w:pos="709"/>
          <w:tab w:val="left" w:pos="1418" w:leader="none"/>
        </w:tabs>
        <w:ind w:left="0" w:firstLine="709"/>
        <w:rPr/>
      </w:pPr>
      <w:r>
        <w:rPr/>
        <w:t>Окончательный расчет по Этапу Работ производится в следующем порядке:</w:t>
      </w:r>
    </w:p>
    <w:p>
      <w:pPr>
        <w:pStyle w:val="ListParagraph"/>
        <w:numPr>
          <w:ilvl w:val="3"/>
          <w:numId w:val="25"/>
        </w:numPr>
        <w:shd w:val="clear" w:color="auto" w:fill="FFFFFF"/>
        <w:tabs>
          <w:tab w:val="clear" w:pos="709"/>
          <w:tab w:val="left" w:pos="1560" w:leader="none"/>
        </w:tabs>
        <w:ind w:left="0" w:firstLine="709"/>
        <w:jc w:val="both"/>
        <w:rPr/>
      </w:pPr>
      <w:r>
        <w:rPr/>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5.2 Договора, будет превышать сумму авансовых платежей, ранее уплаченных Заказчиком в соответствии с пунктами 4.5.3, 4.5.5 Договора, соответствующая разница выплачивается в течение </w:t>
      </w:r>
      <w:r>
        <w:rPr>
          <w:highlight w:val="lightGray"/>
        </w:rPr>
        <w:t>20 (двадцати) календарных дней</w:t>
      </w:r>
      <w:r>
        <w:rPr>
          <w:rStyle w:val="FootnoteReference"/>
          <w:highlight w:val="lightGray"/>
        </w:rPr>
        <w:footnoteReference w:id="8"/>
      </w:r>
      <w:r>
        <w:rPr>
          <w:highlight w:val="lightGray"/>
        </w:rPr>
        <w:t xml:space="preserve"> / 45 (сорока пяти) календарных дней</w:t>
      </w:r>
      <w:r>
        <w:rPr>
          <w:rStyle w:val="FootnoteReference"/>
          <w:highlight w:val="lightGray"/>
        </w:rPr>
        <w:footnoteReference w:id="9"/>
      </w:r>
      <w:r>
        <w:rPr>
          <w:highlight w:val="lightGray"/>
        </w:rPr>
        <w:t xml:space="preserve"> / 7 (семи) рабочих дней</w:t>
      </w:r>
      <w:r>
        <w:rPr>
          <w:rStyle w:val="FootnoteReference"/>
          <w:highlight w:val="lightGray"/>
        </w:rPr>
        <w:footnoteReference w:id="10"/>
      </w:r>
      <w:r>
        <w:rPr/>
        <w:t xml:space="preserve"> с даты подписания Сторонами документов, указанных в пункте 5.2 Договора, на основании счета, выставленного Подрядчиком, и с учетом пунктов 4.5.7, 4.5.8 Договора.</w:t>
      </w:r>
    </w:p>
    <w:p>
      <w:pPr>
        <w:pStyle w:val="ListParagraph"/>
        <w:numPr>
          <w:ilvl w:val="3"/>
          <w:numId w:val="25"/>
        </w:numPr>
        <w:shd w:val="clear" w:color="auto" w:fill="FFFFFF"/>
        <w:tabs>
          <w:tab w:val="clear" w:pos="709"/>
          <w:tab w:val="left" w:pos="1418" w:leader="none"/>
          <w:tab w:val="left" w:pos="1560" w:leader="none"/>
        </w:tabs>
        <w:ind w:left="0" w:firstLine="709"/>
        <w:jc w:val="both"/>
        <w:rPr/>
      </w:pPr>
      <w:r>
        <w:rPr/>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5.2 Договора, будет менее суммы авансовых платежей, ранее уплаченных Заказчиком в соответствии с пунктами 4.5.3, 4.5.5 Договора, соответствующая разница, определенная в том числе с учетом пункта 4.5.8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pPr>
        <w:pStyle w:val="ListParagraph"/>
        <w:numPr>
          <w:ilvl w:val="2"/>
          <w:numId w:val="25"/>
        </w:numPr>
        <w:shd w:val="clear" w:color="auto" w:fill="FFFFFF"/>
        <w:tabs>
          <w:tab w:val="clear" w:pos="709"/>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5"/>
        </w:numPr>
        <w:shd w:val="clear" w:color="auto" w:fill="FFFFFF"/>
        <w:tabs>
          <w:tab w:val="left" w:pos="709" w:leader="none"/>
          <w:tab w:val="left" w:pos="1418" w:leader="none"/>
        </w:tabs>
        <w:ind w:left="0" w:firstLine="709"/>
        <w:jc w:val="both"/>
        <w:rPr/>
      </w:pPr>
      <w:r>
        <w:rPr/>
        <w:t xml:space="preserve">Подрядчик обязан в течение 30 (тридцати) календарных дней с даты, следующей за датой начала выполнения Работ, указанной в пункте 1.6.1 Договора, предоставить Заказчику Банковскую гарантию надлежащего исполнения Договора, соответствующую требованиям, установленным разделом 7 Договора. </w:t>
      </w:r>
    </w:p>
    <w:p>
      <w:pPr>
        <w:pStyle w:val="Normal"/>
        <w:shd w:val="clear" w:color="auto" w:fill="FFFFFF"/>
        <w:tabs>
          <w:tab w:val="left" w:pos="709" w:leader="none"/>
          <w:tab w:val="left" w:pos="1418" w:leader="none"/>
        </w:tabs>
        <w:spacing w:lineRule="auto" w:line="240"/>
        <w:ind w:firstLine="709"/>
        <w:rPr>
          <w:sz w:val="24"/>
          <w:szCs w:val="24"/>
        </w:rPr>
      </w:pPr>
      <w:r>
        <w:rPr>
          <w:sz w:val="24"/>
          <w:szCs w:val="24"/>
        </w:rPr>
        <w:t>В случае невыполнения данного обязательства и при отсутствии соглашения Сторон об ином Заказчик вправе удерживать 10 (десять) процентов от стоимости Партии Оборудования / выполненных Работ при каждом платеже, выплачиваемом Заказчиком Подрядчику в порядке, размерах и сроки, установленные пунктами 4.5.4 – 4.5.6,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pPr>
        <w:pStyle w:val="ListParagraph"/>
        <w:shd w:val="clear" w:color="auto" w:fill="FFFFFF"/>
        <w:tabs>
          <w:tab w:val="clear" w:pos="709"/>
          <w:tab w:val="left" w:pos="1276" w:leader="none"/>
          <w:tab w:val="left" w:pos="1418" w:leader="none"/>
        </w:tabs>
        <w:ind w:left="0" w:firstLine="709"/>
        <w:jc w:val="both"/>
        <w:rPr/>
      </w:pPr>
      <w:r>
        <w:rPr/>
        <w:t>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отвечающую требованиям, указанным в разделе 7 Договора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на основании счета, выставленного Подрядчиком.</w:t>
      </w:r>
    </w:p>
    <w:p>
      <w:pPr>
        <w:pStyle w:val="ListParagraph"/>
        <w:shd w:val="clear" w:color="auto" w:fill="FFFFFF"/>
        <w:tabs>
          <w:tab w:val="clear" w:pos="709"/>
          <w:tab w:val="left" w:pos="1276" w:leader="none"/>
          <w:tab w:val="left" w:pos="1418" w:leader="none"/>
        </w:tabs>
        <w:ind w:left="0" w:firstLine="709"/>
        <w:jc w:val="both"/>
        <w:rPr/>
      </w:pPr>
      <w:r>
        <w:rPr/>
        <w:t xml:space="preserve">Выплата Обеспечительного платежа производится в течение </w:t>
      </w:r>
      <w:r>
        <w:rPr>
          <w:highlight w:val="lightGray"/>
        </w:rPr>
        <w:t>30 (тридцати) календарных дней / 7 (семи) рабочих дней</w:t>
      </w:r>
      <w:r>
        <w:rPr>
          <w:rStyle w:val="FootnoteReference"/>
          <w:highlight w:val="lightGray"/>
          <w:vertAlign w:val="superscript"/>
        </w:rPr>
        <w:footnoteReference w:id="11"/>
      </w:r>
      <w:r>
        <w:rPr/>
        <w:t xml:space="preserve">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Акта КС-14</w:t>
      </w:r>
      <w:r>
        <w:rPr/>
        <w:t xml:space="preserve">.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rPr>
          <w:highlight w:val="lightGray"/>
        </w:rPr>
        <w:t>/ Акта КС-14</w:t>
      </w:r>
      <w:r>
        <w:rPr/>
        <w:t xml:space="preserve">, в случае если иное не установлено Сторонами в соответствующем соглашении о расторжении Договора. </w:t>
      </w:r>
    </w:p>
    <w:p>
      <w:pPr>
        <w:pStyle w:val="ListParagraph"/>
        <w:shd w:val="clear" w:color="auto" w:fill="FFFFFF"/>
        <w:tabs>
          <w:tab w:val="clear" w:pos="709"/>
          <w:tab w:val="left" w:pos="1276" w:leader="none"/>
          <w:tab w:val="left" w:pos="1418" w:leader="none"/>
        </w:tabs>
        <w:ind w:left="0" w:firstLine="709"/>
        <w:jc w:val="both"/>
        <w:rPr/>
      </w:pPr>
      <w: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numPr>
          <w:ilvl w:val="2"/>
          <w:numId w:val="25"/>
        </w:numPr>
        <w:shd w:val="clear" w:color="auto" w:fill="FFFFFF"/>
        <w:tabs>
          <w:tab w:val="clear" w:pos="709"/>
          <w:tab w:val="left" w:pos="1418" w:leader="none"/>
        </w:tabs>
        <w:ind w:left="0" w:firstLine="709"/>
        <w:jc w:val="both"/>
        <w:rPr>
          <w:bCs/>
        </w:rPr>
      </w:pPr>
      <w:bookmarkStart w:id="25" w:name="_Ref373242894"/>
      <w:bookmarkStart w:id="26" w:name="_Ref361834178_Копия_1"/>
      <w:bookmarkEnd w:id="26"/>
      <w:r>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Pr/>
        <w:t>предоставил</w:t>
      </w:r>
      <w:r>
        <w:rPr>
          <w:bCs/>
        </w:rPr>
        <w:t xml:space="preserve"> Банковскую гарантию возврата авансового платежа в срок, установленный пунктом 4.5.1 Договора, и при этом не приступил к исполнению обязательств по Договору.</w:t>
      </w:r>
      <w:bookmarkEnd w:id="25"/>
      <w:r>
        <w:rPr>
          <w:bCs/>
        </w:rPr>
        <w:t xml:space="preserve"> </w:t>
      </w:r>
    </w:p>
    <w:p>
      <w:pPr>
        <w:pStyle w:val="ListParagraph"/>
        <w:numPr>
          <w:ilvl w:val="1"/>
          <w:numId w:val="25"/>
        </w:numPr>
        <w:shd w:val="clear" w:color="auto" w:fill="FFFFFF"/>
        <w:tabs>
          <w:tab w:val="clear" w:pos="709"/>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bookmarkEnd w:id="27"/>
    </w:p>
    <w:p>
      <w:pPr>
        <w:pStyle w:val="ListParagraph"/>
        <w:numPr>
          <w:ilvl w:val="1"/>
          <w:numId w:val="25"/>
        </w:numPr>
        <w:shd w:val="clear" w:color="auto" w:fill="FFFFFF"/>
        <w:tabs>
          <w:tab w:val="clear" w:pos="709"/>
          <w:tab w:val="left" w:pos="1134" w:leader="none"/>
        </w:tabs>
        <w:ind w:left="0" w:firstLine="709"/>
        <w:jc w:val="both"/>
        <w:rPr>
          <w:bCs/>
        </w:rPr>
      </w:pPr>
      <w:r>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5"/>
        </w:numPr>
        <w:shd w:val="clear" w:color="auto" w:fill="FFFFFF"/>
        <w:tabs>
          <w:tab w:val="clear" w:pos="709"/>
          <w:tab w:val="left" w:pos="1134" w:leader="none"/>
        </w:tabs>
        <w:ind w:left="0" w:firstLine="709"/>
        <w:jc w:val="both"/>
        <w:rPr>
          <w:bCs/>
        </w:rPr>
      </w:pPr>
      <w:r>
        <w:rPr/>
        <w:t>Индексация Цены Договора не допускается</w:t>
      </w:r>
    </w:p>
    <w:p>
      <w:pPr>
        <w:pStyle w:val="ListParagraph"/>
        <w:numPr>
          <w:ilvl w:val="1"/>
          <w:numId w:val="26"/>
        </w:numPr>
        <w:shd w:val="clear" w:color="auto" w:fill="FFFFFF"/>
        <w:tabs>
          <w:tab w:val="clear" w:pos="709"/>
          <w:tab w:val="left" w:pos="1134" w:leader="none"/>
          <w:tab w:val="left" w:pos="1418" w:leader="none"/>
        </w:tabs>
        <w:ind w:left="0" w:firstLine="709"/>
        <w:jc w:val="both"/>
        <w:rPr>
          <w:bCs/>
        </w:rPr>
      </w:pPr>
      <w:bookmarkStart w:id="28" w:name="_Ref361834251"/>
      <w:bookmarkEnd w:id="28"/>
      <w: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pPr>
        <w:pStyle w:val="ListParagraph"/>
        <w:shd w:val="clear" w:color="auto" w:fill="FFFFFF"/>
        <w:tabs>
          <w:tab w:val="clear" w:pos="709"/>
          <w:tab w:val="left" w:pos="1134" w:leader="none"/>
          <w:tab w:val="left" w:pos="1418" w:leader="none"/>
        </w:tabs>
        <w:ind w:left="0" w:firstLine="709"/>
        <w:jc w:val="both"/>
        <w:rPr>
          <w:bCs/>
        </w:rPr>
      </w:pPr>
      <w:r>
        <w:rPr>
          <w:bCs/>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9"/>
          <w:tab w:val="left" w:pos="1134" w:leader="none"/>
          <w:tab w:val="left" w:pos="1418" w:leader="none"/>
        </w:tabs>
        <w:ind w:left="0" w:firstLine="709"/>
        <w:jc w:val="both"/>
        <w:rPr>
          <w:bCs/>
        </w:rPr>
      </w:pPr>
      <w:r>
        <w:rPr/>
        <w:t>4.10. Стороны вправе путем заключения дополнительного соглашения к Договору:</w:t>
      </w:r>
    </w:p>
    <w:p>
      <w:pPr>
        <w:pStyle w:val="ListParagraph"/>
        <w:shd w:val="clear" w:color="auto" w:fill="FFFFFF"/>
        <w:tabs>
          <w:tab w:val="clear" w:pos="709"/>
          <w:tab w:val="left" w:pos="1134" w:leader="none"/>
          <w:tab w:val="left" w:pos="1418" w:leader="none"/>
        </w:tabs>
        <w:ind w:left="0" w:firstLine="709"/>
        <w:jc w:val="both"/>
        <w:rPr>
          <w:bCs/>
        </w:rPr>
      </w:pPr>
      <w:r>
        <w:rPr/>
        <w:t>- перераспределять стоимость между Этапами Работ в пределах Цены Договора, а также между Работами, входящими в состав Этапа Работ в пределах его стоимости в случае изменения (уменьшения / исключения / прекращения / увеличения) объема Работ, отдельных видов Работ;</w:t>
      </w:r>
    </w:p>
    <w:p>
      <w:pPr>
        <w:pStyle w:val="ListParagraph"/>
        <w:shd w:val="clear" w:color="auto" w:fill="FFFFFF"/>
        <w:tabs>
          <w:tab w:val="clear" w:pos="709"/>
          <w:tab w:val="left" w:pos="1134" w:leader="none"/>
          <w:tab w:val="left" w:pos="1418" w:leader="none"/>
        </w:tabs>
        <w:ind w:left="0" w:firstLine="709"/>
        <w:jc w:val="both"/>
        <w:rPr>
          <w:bCs/>
        </w:rPr>
      </w:pPr>
      <w:r>
        <w:rPr/>
        <w:t>- детализировать (разукрупнять) и объединять (укрупнять) Этапы Работ. В случае разукрупнения, сумма цены таких Этапов Работ не может превышать цену Этапа Работ до его разукрупнения. В случае укрупнения, цена укрупненного Этапа Работ должна соответствовать сумме Этапов Работ, входящих в его состав.</w:t>
      </w:r>
    </w:p>
    <w:p>
      <w:pPr>
        <w:pStyle w:val="ListParagraph"/>
        <w:shd w:val="clear" w:color="auto" w:fill="FFFFFF"/>
        <w:tabs>
          <w:tab w:val="clear" w:pos="709"/>
          <w:tab w:val="left" w:pos="1134" w:leader="none"/>
          <w:tab w:val="left" w:pos="1418" w:leader="none"/>
        </w:tabs>
        <w:ind w:left="0" w:firstLine="709"/>
        <w:jc w:val="both"/>
        <w:rPr>
          <w:bCs/>
        </w:rPr>
      </w:pPr>
      <w:r>
        <w:rPr>
          <w:bCs/>
        </w:rPr>
      </w:r>
      <w:bookmarkStart w:id="29" w:name="_Ref361834251_Копия_1"/>
      <w:bookmarkStart w:id="30" w:name="_Ref361834251_Копия_1"/>
      <w:bookmarkEnd w:id="30"/>
    </w:p>
    <w:p>
      <w:pPr>
        <w:pStyle w:val="ListParagraph"/>
        <w:numPr>
          <w:ilvl w:val="0"/>
          <w:numId w:val="26"/>
        </w:numPr>
        <w:shd w:val="clear" w:color="auto" w:fill="FFFFFF"/>
        <w:tabs>
          <w:tab w:val="clear" w:pos="709"/>
          <w:tab w:val="left" w:pos="284" w:leader="none"/>
        </w:tabs>
        <w:ind w:left="0" w:hanging="0"/>
        <w:jc w:val="center"/>
        <w:rPr>
          <w:b/>
          <w:bCs/>
        </w:rPr>
      </w:pPr>
      <w:r>
        <w:rPr>
          <w:b/>
          <w:bCs/>
        </w:rPr>
        <w:t>Порядок сдачи-приемки Работ</w:t>
      </w:r>
    </w:p>
    <w:p>
      <w:pPr>
        <w:pStyle w:val="ListParagraph"/>
        <w:numPr>
          <w:ilvl w:val="1"/>
          <w:numId w:val="27"/>
        </w:numPr>
        <w:tabs>
          <w:tab w:val="clear" w:pos="709"/>
          <w:tab w:val="left" w:pos="1134" w:leader="none"/>
        </w:tabs>
        <w:ind w:left="0" w:firstLine="709"/>
        <w:jc w:val="both"/>
        <w:rPr/>
      </w:pPr>
      <w:bookmarkStart w:id="31" w:name="_Ref361336754"/>
      <w:bookmarkStart w:id="32" w:name="_Ref373242517"/>
      <w:bookmarkStart w:id="33" w:name="_Ref361335138"/>
      <w:r>
        <w:rPr/>
        <w:t>Подр</w:t>
      </w:r>
      <w:r>
        <w:rPr>
          <w:shd w:fill="auto" w:val="clear"/>
        </w:rPr>
        <w:t>ядчик не позднее 10-го числа месяца, следующего за отчетным месяцем, п</w:t>
      </w:r>
      <w:r>
        <w:rPr/>
        <w:t xml:space="preserve">редставляет Заказчику подписанный(-ые) со своей стороны в </w:t>
      </w:r>
      <w:r>
        <w:rPr>
          <w:shd w:fill="auto" w:val="clear"/>
        </w:rPr>
        <w:t xml:space="preserve">2 (двух) экземплярах Акт(-ы) освидетельствования выполненных работ за соответствующий отчетный месяц по форме Приложения № 8 к Договору с приложением Исполнительной документации в 3 (трех) экземплярах. </w:t>
      </w:r>
    </w:p>
    <w:p>
      <w:pPr>
        <w:pStyle w:val="ListParagraph"/>
        <w:numPr>
          <w:ilvl w:val="1"/>
          <w:numId w:val="27"/>
        </w:numPr>
        <w:shd w:val="clear" w:color="auto" w:fill="FFFFFF"/>
        <w:tabs>
          <w:tab w:val="left" w:pos="709" w:leader="none"/>
          <w:tab w:val="left" w:pos="1134" w:leader="none"/>
        </w:tabs>
        <w:ind w:left="0" w:firstLine="709"/>
        <w:jc w:val="both"/>
        <w:rPr/>
      </w:pPr>
      <w:r>
        <w:rPr>
          <w:bCs/>
        </w:rPr>
        <w:t>По завершении выполнения Работ по каждому Этапу Работ, указанному в Календарном графике поставки Оборудования и выполнения Работ (Приложение № 3 к Договору), Подрядчик в тече</w:t>
      </w:r>
      <w:r>
        <w:rPr>
          <w:bCs/>
          <w:shd w:fill="auto" w:val="clear"/>
        </w:rPr>
        <w:t>ние 5</w:t>
      </w:r>
      <w:r>
        <w:rPr>
          <w:shd w:fill="auto" w:val="clear"/>
        </w:rPr>
        <w:t xml:space="preserve"> (пяти)</w:t>
      </w:r>
      <w:r>
        <w:rPr>
          <w:bCs/>
          <w:shd w:fill="auto" w:val="clear"/>
        </w:rPr>
        <w:t xml:space="preserve"> рабочих </w:t>
      </w:r>
      <w:r>
        <w:rPr>
          <w:bCs/>
        </w:rPr>
        <w:t xml:space="preserve">дней представляет Заказчику подписанные со своей стороны в 2 (двух) экземплярах </w:t>
      </w:r>
      <w:r>
        <w:rPr/>
        <w:t>Акт о приемке выполненных работ (Приложение №9 к Договору), с приложением Исполнительной документации в 3 (трех) экземплярах, а также электронные версии Акта о приемке выполненных работ и в формате *pdf и *excel на цифровом носителе.</w:t>
      </w:r>
      <w:bookmarkEnd w:id="31"/>
      <w:bookmarkEnd w:id="32"/>
      <w:bookmarkEnd w:id="33"/>
    </w:p>
    <w:p>
      <w:pPr>
        <w:pStyle w:val="ListParagraph"/>
        <w:numPr>
          <w:ilvl w:val="1"/>
          <w:numId w:val="27"/>
        </w:numPr>
        <w:shd w:val="clear" w:color="auto" w:fill="FFFFFF"/>
        <w:tabs>
          <w:tab w:val="clear" w:pos="709"/>
          <w:tab w:val="left" w:pos="1134" w:leader="none"/>
        </w:tabs>
        <w:ind w:left="0" w:firstLine="709"/>
        <w:jc w:val="both"/>
        <w:rPr/>
      </w:pPr>
      <w:bookmarkStart w:id="34" w:name="_Ref361336865"/>
      <w:r>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pPr>
        <w:pStyle w:val="ListParagraph"/>
        <w:numPr>
          <w:ilvl w:val="0"/>
          <w:numId w:val="21"/>
        </w:numPr>
        <w:shd w:val="clear" w:color="auto" w:fill="FFFFFF"/>
        <w:tabs>
          <w:tab w:val="clear" w:pos="709"/>
          <w:tab w:val="left" w:pos="1134" w:leader="none"/>
        </w:tabs>
        <w:ind w:left="0" w:firstLine="709"/>
        <w:jc w:val="both"/>
        <w:rPr/>
      </w:pPr>
      <w:r>
        <w:rPr>
          <w:bCs/>
        </w:rPr>
        <w:t>А</w:t>
      </w:r>
      <w:r>
        <w:rPr/>
        <w:t>кт КС-11 в 2 (двух) экземплярах.</w:t>
      </w:r>
      <w:bookmarkEnd w:id="34"/>
    </w:p>
    <w:p>
      <w:pPr>
        <w:pStyle w:val="ListParagraph"/>
        <w:numPr>
          <w:ilvl w:val="1"/>
          <w:numId w:val="27"/>
        </w:numPr>
        <w:shd w:val="clear" w:color="auto" w:fill="FFFFFF"/>
        <w:tabs>
          <w:tab w:val="clear" w:pos="709"/>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5.1 – 5.3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7"/>
        </w:numPr>
        <w:shd w:val="clear" w:color="auto" w:fill="FFFFFF"/>
        <w:tabs>
          <w:tab w:val="clear" w:pos="709"/>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7"/>
        </w:numPr>
        <w:shd w:val="clear" w:color="auto" w:fill="FFFFFF"/>
        <w:tabs>
          <w:tab w:val="clear" w:pos="709"/>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5.4 Договора.</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w:t>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7"/>
        </w:numPr>
        <w:shd w:val="clear" w:color="auto" w:fill="FFFFFF"/>
        <w:tabs>
          <w:tab w:val="clear" w:pos="709"/>
          <w:tab w:val="left" w:pos="1134" w:leader="none"/>
        </w:tabs>
        <w:ind w:left="0" w:firstLine="709"/>
        <w:jc w:val="both"/>
        <w:rPr>
          <w:bCs/>
        </w:rPr>
      </w:pPr>
      <w:r>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pPr>
        <w:pStyle w:val="ListParagraph"/>
        <w:numPr>
          <w:ilvl w:val="1"/>
          <w:numId w:val="27"/>
        </w:numPr>
        <w:shd w:val="clear" w:color="auto" w:fill="FFFFFF"/>
        <w:tabs>
          <w:tab w:val="clear" w:pos="709"/>
          <w:tab w:val="left" w:pos="1134" w:leader="none"/>
        </w:tabs>
        <w:ind w:left="0" w:firstLine="709"/>
        <w:jc w:val="both"/>
        <w:rPr>
          <w:bCs/>
        </w:rPr>
      </w:pPr>
      <w:bookmarkStart w:id="35" w:name="_Ref361337635"/>
      <w:r>
        <w:rPr>
          <w:bCs/>
        </w:rPr>
        <w:t>Подрядчик обязан представить Заказчику счета-фактуры</w:t>
      </w:r>
      <w:r>
        <w:rPr>
          <w:bCs/>
          <w:color w:val="000000"/>
          <w:sz w:val="24"/>
          <w:szCs w:val="24"/>
        </w:rPr>
        <w:t>/УПД</w:t>
      </w:r>
      <w:r>
        <w:rPr>
          <w:bCs/>
        </w:rPr>
        <w:t xml:space="preserve">, выставленные в сроки и оформленные в порядке, установленном законодательством Российской Федерации. </w:t>
        <w:br/>
        <w:t>В случае нарушения Подрядчиком указанной обязанности он обязан произвести замену счета-фактуры</w:t>
      </w:r>
      <w:r>
        <w:rPr>
          <w:bCs/>
          <w:color w:val="000000"/>
          <w:sz w:val="24"/>
          <w:szCs w:val="24"/>
        </w:rPr>
        <w:t>/УПД</w:t>
      </w:r>
      <w:r>
        <w:rPr>
          <w:bCs/>
        </w:rPr>
        <w:t xml:space="preserve">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5"/>
    </w:p>
    <w:p>
      <w:pPr>
        <w:pStyle w:val="ListParagraph"/>
        <w:numPr>
          <w:ilvl w:val="1"/>
          <w:numId w:val="27"/>
        </w:numPr>
        <w:shd w:val="clear" w:color="auto" w:fill="FFFFFF"/>
        <w:tabs>
          <w:tab w:val="clear" w:pos="709"/>
          <w:tab w:val="left" w:pos="1134" w:leader="none"/>
          <w:tab w:val="left" w:pos="1418" w:leader="none"/>
        </w:tabs>
        <w:ind w:left="0" w:firstLine="709"/>
        <w:jc w:val="both"/>
        <w:rPr>
          <w:bCs/>
        </w:rPr>
      </w:pPr>
      <w:r>
        <w:rPr/>
        <w:t>При приемке выполненных работ не осуществляется сопоставление технологии производства фактически выполненных работ, технологиям, принятым при разработке сметных нормативов. Также при приемке выполненных работ не выделяется и не обосновывается стоимость учтенных в цене конструктивных решений (элементов) и (или) комплексов (видов) работ Сметы Договора, прочих работ и затрат (в том числе зимнее удорожание, осуществление работ вахтовым методом, командирование рабочих, перебазирование строительно-монтажных организаций), и затрат на строительство титульных временных зданий и сооружений, непредвиденных работ и затрат Подрядчика.</w:t>
      </w:r>
    </w:p>
    <w:p>
      <w:pPr>
        <w:pStyle w:val="ListParagraph"/>
        <w:shd w:val="clear" w:color="auto" w:fill="FFFFFF"/>
        <w:tabs>
          <w:tab w:val="clear" w:pos="709"/>
          <w:tab w:val="left" w:pos="1134" w:leader="none"/>
        </w:tabs>
        <w:ind w:left="0" w:hanging="0"/>
        <w:jc w:val="both"/>
        <w:rPr>
          <w:bCs/>
        </w:rPr>
      </w:pPr>
      <w:r>
        <w:rPr>
          <w:bCs/>
        </w:rPr>
      </w:r>
    </w:p>
    <w:p>
      <w:pPr>
        <w:pStyle w:val="ListParagraph"/>
        <w:numPr>
          <w:ilvl w:val="0"/>
          <w:numId w:val="27"/>
        </w:numPr>
        <w:shd w:val="clear" w:color="auto" w:fill="FFFFFF"/>
        <w:tabs>
          <w:tab w:val="clear" w:pos="709"/>
          <w:tab w:val="left" w:pos="284" w:leader="none"/>
        </w:tabs>
        <w:ind w:left="0" w:hanging="0"/>
        <w:jc w:val="center"/>
        <w:rPr>
          <w:b/>
          <w:bCs/>
        </w:rPr>
      </w:pPr>
      <w:r>
        <w:rPr>
          <w:b/>
          <w:bCs/>
        </w:rPr>
        <w:t>Право собственности и переход рисков</w:t>
      </w:r>
    </w:p>
    <w:p>
      <w:pPr>
        <w:pStyle w:val="ListParagraph"/>
        <w:numPr>
          <w:ilvl w:val="1"/>
          <w:numId w:val="27"/>
        </w:numPr>
        <w:shd w:val="clear" w:color="auto" w:fill="FFFFFF"/>
        <w:tabs>
          <w:tab w:val="clear" w:pos="709"/>
          <w:tab w:val="left" w:pos="1134" w:leader="none"/>
        </w:tabs>
        <w:ind w:left="0" w:firstLine="709"/>
        <w:jc w:val="both"/>
        <w:rPr>
          <w:bCs/>
        </w:rPr>
      </w:pPr>
      <w:bookmarkStart w:id="36" w:name="_Ref361405028"/>
      <w:r>
        <w:rPr>
          <w:bCs/>
        </w:rPr>
        <w:t>Риск</w:t>
      </w:r>
      <w:r>
        <w:rPr/>
        <w:t xml:space="preserve"> случайной гибели или повреждения Оборудования и</w:t>
      </w:r>
      <w:r>
        <w:rPr>
          <w:bCs/>
        </w:rPr>
        <w:t xml:space="preserve"> право собственности </w:t>
        <w:br/>
        <w:t xml:space="preserve">на Оборудование переходит к Заказчику с момента подписания Сторонами </w:t>
      </w:r>
      <w:r>
        <w:rPr/>
        <w:t xml:space="preserve">накладной </w:t>
        <w:br/>
        <w:t>ТОРГ-12</w:t>
      </w:r>
      <w:r>
        <w:rPr>
          <w:color w:val="000000"/>
          <w:sz w:val="24"/>
          <w:szCs w:val="24"/>
        </w:rPr>
        <w:t>/УПД</w:t>
      </w:r>
      <w:r>
        <w:rPr>
          <w:bCs/>
        </w:rPr>
        <w:t>.</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Риск случайной гибели или повреждения результатов выполненных Работ, включая Оборудование (в том числе, переданное в монтаж) и Материально-технические ресурсы, переходит к Заказчику с момента подписания </w:t>
      </w:r>
      <w:r>
        <w:rPr/>
        <w:t>Акта о приемке выполненных работ</w:t>
      </w:r>
      <w:r>
        <w:rPr>
          <w:bCs/>
        </w:rPr>
        <w:t>. До подписания Сторонами Акта о приемке выполненных работ риск случайной гибели или повреждения результатов выполненных Работ, включая Оборудование (с учетом выполнения Сторонами требований, изложенных в пункте 2.15 Договора) и Материально-технические ресурсы, несет Подрядчик.</w:t>
      </w:r>
      <w:bookmarkEnd w:id="36"/>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Право собственности на результаты выполненных Работ возникает у Заказчика с момента подписания Сторонами Акта о приемке выполненных работ. </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27"/>
        </w:numPr>
        <w:shd w:val="clear" w:color="auto" w:fill="FFFFFF"/>
        <w:tabs>
          <w:tab w:val="clear" w:pos="709"/>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 xml:space="preserve">означает приемку выполненных Работ и вступление в силу положений Договора, касающихся гарантий качества. </w:t>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pPr>
        <w:pStyle w:val="ListParagraph"/>
        <w:shd w:val="clear" w:color="auto" w:fill="FFFFFF"/>
        <w:tabs>
          <w:tab w:val="clear" w:pos="709"/>
          <w:tab w:val="left" w:pos="0" w:leader="none"/>
          <w:tab w:val="left" w:pos="1134" w:leader="none"/>
        </w:tabs>
        <w:ind w:left="0" w:firstLine="709"/>
        <w:jc w:val="both"/>
        <w:rPr>
          <w:bCs/>
        </w:rPr>
      </w:pPr>
      <w:r>
        <w:rPr>
          <w:bCs/>
        </w:rPr>
      </w:r>
    </w:p>
    <w:p>
      <w:pPr>
        <w:pStyle w:val="ListParagraph"/>
        <w:numPr>
          <w:ilvl w:val="0"/>
          <w:numId w:val="27"/>
        </w:numPr>
        <w:shd w:val="clear" w:color="auto" w:fill="FFFFFF"/>
        <w:tabs>
          <w:tab w:val="clear" w:pos="709"/>
          <w:tab w:val="left" w:pos="284" w:leader="none"/>
        </w:tabs>
        <w:ind w:left="0" w:hanging="0"/>
        <w:jc w:val="center"/>
        <w:rPr>
          <w:b/>
          <w:bCs/>
        </w:rPr>
      </w:pPr>
      <w:r>
        <w:rPr>
          <w:b/>
          <w:bCs/>
        </w:rPr>
        <w:t>Банковские гарантии</w:t>
      </w:r>
    </w:p>
    <w:p>
      <w:pPr>
        <w:pStyle w:val="ListParagraph"/>
        <w:numPr>
          <w:ilvl w:val="1"/>
          <w:numId w:val="27"/>
        </w:numPr>
        <w:shd w:val="clear" w:color="auto" w:fill="FFFFFF"/>
        <w:tabs>
          <w:tab w:val="clear" w:pos="709"/>
          <w:tab w:val="left" w:pos="1134" w:leader="none"/>
        </w:tabs>
        <w:ind w:left="0" w:firstLine="709"/>
        <w:jc w:val="both"/>
        <w:rPr>
          <w:bCs/>
        </w:rPr>
      </w:pPr>
      <w:r>
        <w:rPr>
          <w:bCs/>
        </w:rPr>
        <w:t>Банковская гарантия, предоставляемая Подрядчиком Заказчику по Договору, должна соответствовать следующим требованиям:</w:t>
      </w:r>
    </w:p>
    <w:p>
      <w:pPr>
        <w:pStyle w:val="ListParagraph"/>
        <w:numPr>
          <w:ilvl w:val="2"/>
          <w:numId w:val="27"/>
        </w:numPr>
        <w:shd w:val="clear" w:color="auto" w:fill="FFFFFF"/>
        <w:tabs>
          <w:tab w:val="clear" w:pos="709"/>
          <w:tab w:val="left" w:pos="1418" w:leader="none"/>
        </w:tabs>
        <w:ind w:left="0" w:firstLine="709"/>
        <w:jc w:val="both"/>
        <w:rPr>
          <w:bCs/>
        </w:rPr>
      </w:pPr>
      <w:r>
        <w:rPr>
          <w:bCs/>
        </w:rPr>
        <w:t xml:space="preserve">Банковская гарантия должна быть безотзывной и безусловной (гарантия </w:t>
        <w:br/>
        <w:t>по первому требованию).</w:t>
      </w:r>
    </w:p>
    <w:p>
      <w:pPr>
        <w:pStyle w:val="ListParagraph"/>
        <w:numPr>
          <w:ilvl w:val="2"/>
          <w:numId w:val="27"/>
        </w:numPr>
        <w:shd w:val="clear" w:color="auto" w:fill="FFFFFF"/>
        <w:tabs>
          <w:tab w:val="clear" w:pos="709"/>
          <w:tab w:val="left" w:pos="1418" w:leader="none"/>
        </w:tabs>
        <w:ind w:left="0" w:firstLine="709"/>
        <w:jc w:val="both"/>
        <w:rPr>
          <w:bCs/>
        </w:rPr>
      </w:pPr>
      <w:r>
        <w:rPr>
          <w:bCs/>
        </w:rPr>
        <w:t>Бенефициар по Банковской гарантии – Заказчик, принципал – Подрядчик.</w:t>
      </w:r>
    </w:p>
    <w:p>
      <w:pPr>
        <w:pStyle w:val="ListParagraph"/>
        <w:numPr>
          <w:ilvl w:val="2"/>
          <w:numId w:val="27"/>
        </w:numPr>
        <w:shd w:val="clear" w:color="auto" w:fill="FFFFFF"/>
        <w:tabs>
          <w:tab w:val="clear" w:pos="709"/>
          <w:tab w:val="left" w:pos="1418" w:leader="none"/>
        </w:tabs>
        <w:ind w:left="0" w:firstLine="709"/>
        <w:jc w:val="both"/>
        <w:rPr>
          <w:bCs/>
        </w:rPr>
      </w:pPr>
      <w:r>
        <w:rPr>
          <w:bCs/>
        </w:rPr>
        <w:t>Сумма Банковской гарантии – выражена в валюте расчетов по Договору.</w:t>
      </w:r>
    </w:p>
    <w:p>
      <w:pPr>
        <w:pStyle w:val="ListParagraph"/>
        <w:numPr>
          <w:ilvl w:val="2"/>
          <w:numId w:val="27"/>
        </w:numPr>
        <w:shd w:val="clear" w:color="auto" w:fill="FFFFFF"/>
        <w:tabs>
          <w:tab w:val="clear" w:pos="709"/>
          <w:tab w:val="left" w:pos="1418" w:leader="none"/>
        </w:tabs>
        <w:ind w:left="0" w:firstLine="709"/>
        <w:jc w:val="both"/>
        <w:rPr>
          <w:bCs/>
        </w:rPr>
      </w:pPr>
      <w:r>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w:t>
        <w:br/>
        <w:t xml:space="preserve">в совокупной сумме с учетом ранее выплаченных Подрядчику и неотработанных авансовых платежей. </w:t>
      </w:r>
    </w:p>
    <w:p>
      <w:pPr>
        <w:pStyle w:val="ListParagraph"/>
        <w:numPr>
          <w:ilvl w:val="2"/>
          <w:numId w:val="27"/>
        </w:numPr>
        <w:shd w:val="clear" w:color="auto" w:fill="FFFFFF"/>
        <w:tabs>
          <w:tab w:val="clear" w:pos="709"/>
          <w:tab w:val="left" w:pos="1418" w:leader="none"/>
        </w:tabs>
        <w:ind w:left="0" w:firstLine="709"/>
        <w:jc w:val="both"/>
        <w:rPr>
          <w:bCs/>
        </w:rPr>
      </w:pPr>
      <w:r>
        <w:rPr>
          <w:bCs/>
        </w:rPr>
        <w:t>Сумма Банковской гарантии надлежащего исполнения обязательств по Договору – не менее 10 (десяти) процентов от Цены Договора.</w:t>
      </w:r>
    </w:p>
    <w:p>
      <w:pPr>
        <w:pStyle w:val="ListParagraph"/>
        <w:numPr>
          <w:ilvl w:val="2"/>
          <w:numId w:val="27"/>
        </w:numPr>
        <w:shd w:val="clear" w:color="auto" w:fill="FFFFFF"/>
        <w:tabs>
          <w:tab w:val="clear" w:pos="709"/>
          <w:tab w:val="left" w:pos="1418" w:leader="none"/>
        </w:tabs>
        <w:ind w:left="0" w:firstLine="709"/>
        <w:jc w:val="both"/>
        <w:rPr>
          <w:bCs/>
        </w:rPr>
      </w:pPr>
      <w:r>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br/>
        <w:t>о предъявлении суммы обеспечения к оплате</w:t>
      </w:r>
      <w:r>
        <w:rPr/>
        <w:t xml:space="preserve"> </w:t>
      </w:r>
      <w:r>
        <w:rPr>
          <w:bCs/>
        </w:rPr>
        <w:t xml:space="preserve">как полностью, так и частично, с указанием </w:t>
        <w:br/>
        <w:t>на существо допущенных Подрядчиком нарушений, в том числе в случаях:</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отказа Подрядчика от возврата неотработанного аванса при досрочном прекращении Договора/признании Договора недействительным;</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нарушения Подрядчиком сроков</w:t>
      </w:r>
      <w:r>
        <w:rPr/>
        <w:t xml:space="preserve"> </w:t>
      </w:r>
      <w:r>
        <w:rPr>
          <w:bCs/>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прекращения членства Подрядчика в СРО, основанной на членстве лиц, осуществляющих строительство;</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введения арбитражным судом процедуры несостоятельности (банкротства)</w:t>
      </w:r>
      <w:r>
        <w:rPr/>
        <w:t xml:space="preserve"> </w:t>
        <w:br/>
      </w:r>
      <w:r>
        <w:rPr>
          <w:bCs/>
          <w:sz w:val="24"/>
          <w:szCs w:val="24"/>
        </w:rPr>
        <w:t>в отношении Подрядчика;</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pPr>
        <w:pStyle w:val="Normal"/>
        <w:numPr>
          <w:ilvl w:val="0"/>
          <w:numId w:val="6"/>
        </w:numPr>
        <w:tabs>
          <w:tab w:val="clear" w:pos="709"/>
          <w:tab w:val="left" w:pos="1418" w:leader="none"/>
        </w:tabs>
        <w:spacing w:lineRule="auto" w:line="240"/>
        <w:ind w:left="0" w:firstLine="709"/>
        <w:rPr>
          <w:bCs/>
          <w:sz w:val="24"/>
          <w:szCs w:val="24"/>
        </w:rPr>
      </w:pPr>
      <w:r>
        <w:rPr>
          <w:color w:val="000000"/>
          <w:sz w:val="24"/>
          <w:szCs w:val="24"/>
        </w:rPr>
        <w:t>признания Договора недействительным по причинам отсутствия необходимых</w:t>
      </w:r>
      <w:r>
        <w:rPr>
          <w:sz w:val="24"/>
          <w:szCs w:val="24"/>
        </w:rPr>
        <w:t xml:space="preserve"> корпоративных одобрений у Подрядчика;</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16 Договора, и имеющих существенное значение для его заключения и исполнения.</w:t>
      </w:r>
    </w:p>
    <w:p>
      <w:pPr>
        <w:pStyle w:val="ListParagraph"/>
        <w:shd w:val="clear" w:color="auto" w:fill="FFFFFF"/>
        <w:tabs>
          <w:tab w:val="clear" w:pos="709"/>
          <w:tab w:val="left" w:pos="1418" w:leader="none"/>
        </w:tabs>
        <w:ind w:left="0" w:firstLine="709"/>
        <w:jc w:val="both"/>
        <w:rPr/>
      </w:pPr>
      <w:r>
        <w:rPr/>
        <w:t>Вместе с требованием о предъявлении суммы обеспечения к оплате Заказчик направляет Банку-Гаранту копию Банковской гарантии.</w:t>
      </w:r>
    </w:p>
    <w:p>
      <w:pPr>
        <w:pStyle w:val="ListParagraph"/>
        <w:shd w:val="clear" w:color="auto" w:fill="FFFFFF"/>
        <w:tabs>
          <w:tab w:val="clear" w:pos="709"/>
          <w:tab w:val="left" w:pos="1418" w:leader="none"/>
        </w:tabs>
        <w:ind w:left="0" w:firstLine="709"/>
        <w:jc w:val="both"/>
        <w:rPr>
          <w:bCs/>
        </w:rPr>
      </w:pPr>
      <w:r>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pPr>
        <w:pStyle w:val="ListParagraph"/>
        <w:widowControl/>
        <w:shd w:val="clear" w:fill="FFFFFF"/>
        <w:tabs>
          <w:tab w:val="clear" w:pos="709"/>
          <w:tab w:val="left" w:pos="1418" w:leader="none"/>
        </w:tabs>
        <w:suppressAutoHyphens w:val="true"/>
        <w:bidi w:val="0"/>
        <w:spacing w:lineRule="auto" w:line="240" w:before="0" w:after="0"/>
        <w:ind w:left="0" w:right="0" w:firstLine="709"/>
        <w:contextualSpacing/>
        <w:jc w:val="both"/>
        <w:rPr>
          <w:rFonts w:eastAsia="Times New Roman" w:cs="Times New Roman"/>
          <w:bCs/>
          <w:color w:val="000000"/>
          <w:kern w:val="0"/>
          <w:sz w:val="24"/>
          <w:szCs w:val="24"/>
          <w:shd w:fill="auto" w:val="clear"/>
          <w:lang w:val="ru-RU" w:eastAsia="ru-RU" w:bidi="ar-SA"/>
        </w:rPr>
      </w:pPr>
      <w:r>
        <w:rPr>
          <w:rFonts w:eastAsia="Times New Roman" w:cs="Times New Roman"/>
          <w:bCs/>
          <w:color w:val="000000"/>
          <w:kern w:val="0"/>
          <w:sz w:val="24"/>
          <w:szCs w:val="24"/>
          <w:shd w:fill="auto" w:val="clear"/>
          <w:lang w:val="ru-RU" w:eastAsia="ru-RU" w:bidi="ar-SA"/>
        </w:rPr>
        <w:t xml:space="preserve">Банковской гарантией возврата предварительной оплаты (аванса) / надлежащего исполнения обязательств / гарантийных обязательств по Договору должно быть предусмотрено условие о праве Бенефициара направлять требование об уплате денежной суммы по Банковской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pPr>
        <w:pStyle w:val="Normal"/>
        <w:spacing w:lineRule="auto" w:line="240" w:before="0" w:after="0"/>
        <w:ind w:left="0" w:right="0" w:firstLine="709"/>
        <w:jc w:val="both"/>
        <w:rPr>
          <w:rFonts w:ascii="Times New Roman" w:hAnsi="Times New Roman" w:eastAsia="Times New Roman" w:cs="Times New Roman"/>
          <w:bCs/>
          <w:color w:val="auto"/>
          <w:kern w:val="0"/>
          <w:sz w:val="24"/>
          <w:szCs w:val="24"/>
          <w:shd w:fill="FFFF00" w:val="clear"/>
          <w:lang w:val="ru-RU" w:eastAsia="ru-RU" w:bidi="ar-SA"/>
        </w:rPr>
      </w:pPr>
      <w:r>
        <w:rPr>
          <w:rFonts w:eastAsia="Times New Roman" w:cs="Times New Roman"/>
          <w:bCs/>
          <w:color w:val="000000"/>
          <w:kern w:val="0"/>
          <w:sz w:val="24"/>
          <w:szCs w:val="24"/>
          <w:shd w:fill="auto" w:val="clear"/>
          <w:lang w:val="ru-RU" w:eastAsia="ru-RU" w:bidi="ar-SA"/>
        </w:rPr>
        <w:t xml:space="preserve">Выбор формы направления такого требования осуществляется Бенефициаром самостоятельно. </w:t>
      </w:r>
      <w:r>
        <w:rPr>
          <w:rFonts w:eastAsia="Times New Roman" w:cs="Times New Roman"/>
          <w:bCs/>
          <w:color w:val="auto"/>
          <w:sz w:val="24"/>
          <w:szCs w:val="24"/>
          <w:lang w:val="ru-RU" w:eastAsia="ru-RU" w:bidi="ar-SA"/>
        </w:rPr>
        <w:t>Платеж по Банковской гарантии – осуществляется Банком-Гарантом в течение 10 (десяти) рабочих дней после обращения Заказчика.</w:t>
      </w:r>
    </w:p>
    <w:p>
      <w:pPr>
        <w:pStyle w:val="ListParagraph"/>
        <w:numPr>
          <w:ilvl w:val="2"/>
          <w:numId w:val="27"/>
        </w:numPr>
        <w:shd w:val="clear" w:color="auto" w:fill="FFFFFF"/>
        <w:tabs>
          <w:tab w:val="clear" w:pos="709"/>
          <w:tab w:val="left" w:pos="1418" w:leader="none"/>
        </w:tabs>
        <w:ind w:left="0" w:firstLine="709"/>
        <w:jc w:val="both"/>
        <w:rPr>
          <w:bCs/>
        </w:rPr>
      </w:pPr>
      <w:r>
        <w:rPr>
          <w:bCs/>
        </w:rPr>
        <w:t xml:space="preserve">Срок действия Банковской гарантии – не ранее 70 (семидесяти) календарных дней после наступления даты завершения Работ по </w:t>
      </w:r>
      <w:r>
        <w:rPr>
          <w:bCs/>
          <w:highlight w:val="lightGray"/>
        </w:rPr>
        <w:t>Этапу Работ</w:t>
      </w:r>
      <w:r>
        <w:rPr>
          <w:rStyle w:val="FootnoteReference"/>
          <w:bCs/>
          <w:highlight w:val="lightGray"/>
        </w:rPr>
        <w:footnoteReference w:id="12"/>
      </w:r>
      <w:r>
        <w:rPr>
          <w:bCs/>
          <w:highlight w:val="lightGray"/>
        </w:rPr>
        <w:t xml:space="preserve"> / Договору</w:t>
      </w:r>
      <w:r>
        <w:rPr>
          <w:rStyle w:val="FootnoteReference"/>
          <w:bCs/>
          <w:highlight w:val="lightGray"/>
        </w:rPr>
        <w:footnoteReference w:id="13"/>
      </w:r>
      <w:r>
        <w:rPr>
          <w:bCs/>
        </w:rPr>
        <w:t>.</w:t>
      </w:r>
    </w:p>
    <w:p>
      <w:pPr>
        <w:pStyle w:val="ListParagraph"/>
        <w:numPr>
          <w:ilvl w:val="2"/>
          <w:numId w:val="27"/>
        </w:numPr>
        <w:shd w:val="clear" w:color="auto" w:fill="FFFFFF"/>
        <w:tabs>
          <w:tab w:val="clear" w:pos="709"/>
          <w:tab w:val="left" w:pos="1418" w:leader="none"/>
        </w:tabs>
        <w:ind w:left="0" w:firstLine="709"/>
        <w:jc w:val="both"/>
        <w:rPr>
          <w:bCs/>
        </w:rPr>
      </w:pPr>
      <w:r>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br/>
        <w:t>по Банковской гарантии.</w:t>
      </w:r>
    </w:p>
    <w:p>
      <w:pPr>
        <w:pStyle w:val="ListParagraph"/>
        <w:numPr>
          <w:ilvl w:val="2"/>
          <w:numId w:val="27"/>
        </w:numPr>
        <w:shd w:val="clear" w:color="auto" w:fill="FFFFFF"/>
        <w:tabs>
          <w:tab w:val="clear" w:pos="709"/>
          <w:tab w:val="left" w:pos="1418" w:leader="none"/>
        </w:tabs>
        <w:ind w:left="0" w:firstLine="709"/>
        <w:jc w:val="both"/>
        <w:rPr>
          <w:bCs/>
        </w:rPr>
      </w:pPr>
      <w:r>
        <w:rPr>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pPr>
        <w:pStyle w:val="ListParagraph"/>
        <w:numPr>
          <w:ilvl w:val="2"/>
          <w:numId w:val="27"/>
        </w:numPr>
        <w:shd w:val="clear" w:color="auto" w:fill="FFFFFF"/>
        <w:tabs>
          <w:tab w:val="clear" w:pos="709"/>
          <w:tab w:val="left" w:pos="1418" w:leader="none"/>
        </w:tabs>
        <w:ind w:left="0" w:firstLine="709"/>
        <w:jc w:val="both"/>
        <w:rPr>
          <w:bCs/>
        </w:rPr>
      </w:pPr>
      <w:r>
        <w:rPr>
          <w:bCs/>
        </w:rPr>
        <w:t>Банковская гарантия не должна содержать условий или требований, противоречащих требованиям, указанным в пунктах 7.1.1 – 7.1.9 Договора, или делающих такие требования неисполнимыми.</w:t>
      </w:r>
    </w:p>
    <w:p>
      <w:pPr>
        <w:pStyle w:val="ListParagraph"/>
        <w:numPr>
          <w:ilvl w:val="2"/>
          <w:numId w:val="27"/>
        </w:numPr>
        <w:shd w:val="clear" w:color="auto" w:fill="FFFFFF"/>
        <w:tabs>
          <w:tab w:val="clear" w:pos="709"/>
          <w:tab w:val="left" w:pos="1418" w:leader="none"/>
        </w:tabs>
        <w:ind w:left="0" w:firstLine="709"/>
        <w:jc w:val="both"/>
        <w:rPr>
          <w:bCs/>
        </w:rPr>
      </w:pPr>
      <w:r>
        <w:rPr/>
        <w:t xml:space="preserve">Банковские гарантии, предусмотренные настоящим разделом Договора, предоставляются (по выбору Заказчика): </w:t>
      </w:r>
    </w:p>
    <w:p>
      <w:pPr>
        <w:pStyle w:val="ListParagraph"/>
        <w:shd w:val="clear" w:color="auto" w:fill="FFFFFF"/>
        <w:tabs>
          <w:tab w:val="clear" w:pos="709"/>
          <w:tab w:val="left" w:pos="1418" w:leader="none"/>
        </w:tabs>
        <w:ind w:left="0" w:firstLine="709"/>
        <w:jc w:val="both"/>
        <w:rPr>
          <w:bCs/>
        </w:rPr>
      </w:pPr>
      <w:r>
        <w:rPr/>
        <w:t>- в электронной форме с использованием программно-аппаратных средств информационной системы электронного документооборота общего пользования путем ее подписания усиленной квалифицированной электронной подписью уполномоченного представителя Банка-гаранта / иным способом предусмотренным законодательством Российской Федерации; либо</w:t>
      </w:r>
    </w:p>
    <w:p>
      <w:pPr>
        <w:pStyle w:val="ListParagraph"/>
        <w:shd w:val="clear" w:color="auto" w:fill="FFFFFF"/>
        <w:tabs>
          <w:tab w:val="clear" w:pos="709"/>
          <w:tab w:val="left" w:pos="1418" w:leader="none"/>
        </w:tabs>
        <w:ind w:left="0" w:firstLine="709"/>
        <w:jc w:val="both"/>
        <w:rPr>
          <w:bCs/>
        </w:rPr>
      </w:pPr>
      <w:r>
        <w:rPr/>
        <w:t>- в оригинале на бумажном носителе.</w:t>
      </w:r>
    </w:p>
    <w:p>
      <w:pPr>
        <w:pStyle w:val="ListParagraph"/>
        <w:numPr>
          <w:ilvl w:val="1"/>
          <w:numId w:val="27"/>
        </w:numPr>
        <w:shd w:val="clear" w:color="auto" w:fill="FFFFFF"/>
        <w:tabs>
          <w:tab w:val="clear" w:pos="709"/>
          <w:tab w:val="left" w:pos="1134" w:leader="none"/>
        </w:tabs>
        <w:ind w:left="0" w:firstLine="709"/>
        <w:jc w:val="both"/>
        <w:rPr>
          <w:bCs/>
        </w:rPr>
      </w:pPr>
      <w:r>
        <w:rPr>
          <w:bCs/>
        </w:rPr>
        <w:t>Банк, выдавший Банковскую гарантию, должен соответствовать критериям, установленным в Приложении № 14 к Договору.</w:t>
      </w:r>
    </w:p>
    <w:p>
      <w:pPr>
        <w:pStyle w:val="ListParagraph"/>
        <w:numPr>
          <w:ilvl w:val="1"/>
          <w:numId w:val="27"/>
        </w:numPr>
        <w:shd w:val="clear" w:color="auto" w:fill="FFFFFF"/>
        <w:tabs>
          <w:tab w:val="clear" w:pos="709"/>
          <w:tab w:val="left" w:pos="1134" w:leader="none"/>
        </w:tabs>
        <w:ind w:left="0" w:firstLine="709"/>
        <w:jc w:val="both"/>
        <w:rPr>
          <w:bCs/>
        </w:rPr>
      </w:pPr>
      <w:r>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Сумма Банковской гарантии возврата авансового платежа по согласованию </w:t>
        <w:br/>
        <w:t>с Заказчиком может быть уменьшена пропорционально сумме выполненных Подрядчиком обязательств по Договору (соответствующего Этапа Работ/ Партии Оборудования) при условии подтверждения их выполнения.</w:t>
      </w:r>
    </w:p>
    <w:p>
      <w:pPr>
        <w:pStyle w:val="ListParagraph"/>
        <w:numPr>
          <w:ilvl w:val="1"/>
          <w:numId w:val="27"/>
        </w:numPr>
        <w:shd w:val="clear" w:color="auto" w:fill="FFFFFF"/>
        <w:tabs>
          <w:tab w:val="clear" w:pos="709"/>
          <w:tab w:val="left" w:pos="1134" w:leader="none"/>
        </w:tabs>
        <w:ind w:left="0" w:firstLine="709"/>
        <w:jc w:val="both"/>
        <w:rPr>
          <w:bCs/>
        </w:rPr>
      </w:pPr>
      <w:r>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pPr>
        <w:pStyle w:val="ListParagraph"/>
        <w:numPr>
          <w:ilvl w:val="1"/>
          <w:numId w:val="27"/>
        </w:numPr>
        <w:shd w:val="clear" w:color="auto" w:fill="FFFFFF"/>
        <w:tabs>
          <w:tab w:val="clear" w:pos="709"/>
          <w:tab w:val="left" w:pos="1134" w:leader="none"/>
        </w:tabs>
        <w:ind w:left="0" w:firstLine="709"/>
        <w:jc w:val="both"/>
        <w:rPr>
          <w:bCs/>
        </w:rPr>
      </w:pPr>
      <w:r>
        <w:rPr>
          <w:bCs/>
        </w:rPr>
        <w:t>В случаях</w:t>
      </w:r>
      <w:r>
        <w:rPr>
          <w:bCs/>
          <w:lang w:val="en-US"/>
        </w:rPr>
        <w:t>:</w:t>
      </w:r>
      <w:r>
        <w:rPr>
          <w:bCs/>
        </w:rPr>
        <w:t xml:space="preserve"> </w:t>
      </w:r>
    </w:p>
    <w:p>
      <w:pPr>
        <w:pStyle w:val="ListParagraph"/>
        <w:numPr>
          <w:ilvl w:val="1"/>
          <w:numId w:val="17"/>
        </w:numPr>
        <w:shd w:val="clear" w:color="auto" w:fill="FFFFFF"/>
        <w:tabs>
          <w:tab w:val="clear" w:pos="709"/>
          <w:tab w:val="left" w:pos="1134" w:leader="none"/>
        </w:tabs>
        <w:ind w:left="0" w:firstLine="709"/>
        <w:jc w:val="both"/>
        <w:rPr>
          <w:bCs/>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pPr>
        <w:pStyle w:val="ListParagraph"/>
        <w:numPr>
          <w:ilvl w:val="1"/>
          <w:numId w:val="17"/>
        </w:numPr>
        <w:shd w:val="clear" w:color="auto" w:fill="FFFFFF"/>
        <w:tabs>
          <w:tab w:val="clear" w:pos="709"/>
          <w:tab w:val="left" w:pos="1134" w:leader="none"/>
        </w:tabs>
        <w:ind w:left="0" w:firstLine="709"/>
        <w:jc w:val="both"/>
        <w:rPr>
          <w:bCs/>
        </w:rPr>
      </w:pPr>
      <w:r>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pPr>
        <w:pStyle w:val="ListParagraph"/>
        <w:shd w:val="clear" w:color="auto" w:fill="FFFFFF"/>
        <w:tabs>
          <w:tab w:val="clear" w:pos="709"/>
          <w:tab w:val="left" w:pos="1134" w:leader="none"/>
        </w:tabs>
        <w:ind w:left="0" w:firstLine="709"/>
        <w:jc w:val="both"/>
        <w:rPr>
          <w:bCs/>
        </w:rPr>
      </w:pPr>
      <w:r>
        <w:rPr>
          <w:bCs/>
        </w:rPr>
        <w:t>Подрядчик обязан предоставить Заказчику новую Банковскую гарантию</w:t>
      </w:r>
      <w:r>
        <w:rPr/>
        <w:t xml:space="preserve"> </w:t>
      </w:r>
      <w:r>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pPr>
        <w:pStyle w:val="ListParagraph"/>
        <w:shd w:val="clear" w:color="auto" w:fill="FFFFFF"/>
        <w:ind w:left="0" w:firstLine="709"/>
        <w:jc w:val="both"/>
        <w:rPr>
          <w:bCs/>
        </w:rPr>
      </w:pPr>
      <w:r>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FootnoteReference"/>
          <w:bCs/>
        </w:rPr>
        <w:footnoteReference w:id="14"/>
      </w:r>
      <w:r>
        <w:rPr>
          <w:bCs/>
        </w:rPr>
        <w:t xml:space="preserve"> при выплате каждого платежа, причитающегося Подрядчику, до полного зачета неотработанного аван</w:t>
      </w:r>
      <w:r>
        <w:rPr>
          <w:bCs/>
          <w:shd w:fill="auto" w:val="clear"/>
        </w:rPr>
        <w:t xml:space="preserve">са </w:t>
      </w:r>
      <w:r>
        <w:rPr>
          <w:shd w:fill="auto" w:val="clear"/>
        </w:rPr>
        <w:t>и / или сумму ранее выплаченного Обеспечительного платежа</w:t>
      </w:r>
      <w:r>
        <w:rPr>
          <w:rStyle w:val="FootnoteReference"/>
          <w:shd w:fill="auto" w:val="clear"/>
        </w:rPr>
        <w:footnoteReference w:id="15"/>
      </w:r>
      <w:r>
        <w:rPr>
          <w:shd w:fill="auto" w:val="clear"/>
        </w:rPr>
        <w:t xml:space="preserve"> при выплате каждого платежа, причитающегося Подрядчику.</w:t>
      </w:r>
    </w:p>
    <w:p>
      <w:pPr>
        <w:pStyle w:val="ListParagraph"/>
        <w:numPr>
          <w:ilvl w:val="1"/>
          <w:numId w:val="27"/>
        </w:numPr>
        <w:shd w:val="clear" w:color="auto" w:fill="FFFFFF"/>
        <w:tabs>
          <w:tab w:val="clear" w:pos="709"/>
          <w:tab w:val="left" w:pos="1134" w:leader="none"/>
        </w:tabs>
        <w:ind w:left="0" w:firstLine="709"/>
        <w:jc w:val="both"/>
        <w:rPr>
          <w:bCs/>
        </w:rPr>
      </w:pPr>
      <w:r>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Положения пункта 4.5.1 Договора применяются, если совокупный размер авансовых платежей, уплаченных и подлежащих уплате по Договору в соответствии </w:t>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пунктами 4.5.5, Договора.</w:t>
      </w:r>
    </w:p>
    <w:p>
      <w:pPr>
        <w:pStyle w:val="ListParagraph"/>
        <w:numPr>
          <w:ilvl w:val="1"/>
          <w:numId w:val="27"/>
        </w:numPr>
        <w:shd w:val="clear" w:color="auto" w:fill="FFFFFF"/>
        <w:tabs>
          <w:tab w:val="clear" w:pos="709"/>
          <w:tab w:val="left" w:pos="1134" w:leader="none"/>
        </w:tabs>
        <w:ind w:left="0" w:firstLine="709"/>
        <w:jc w:val="both"/>
        <w:rPr>
          <w:bCs/>
        </w:rPr>
      </w:pPr>
      <w:r>
        <w:rPr/>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pPr>
        <w:pStyle w:val="Normal"/>
        <w:shd w:val="clear" w:color="auto" w:fill="FFFFFF"/>
        <w:tabs>
          <w:tab w:val="clear" w:pos="709"/>
          <w:tab w:val="left" w:pos="1134" w:leader="none"/>
        </w:tabs>
        <w:ind w:left="567" w:hanging="0"/>
        <w:rPr>
          <w:bCs/>
        </w:rPr>
      </w:pPr>
      <w:r>
        <w:rPr>
          <w:bCs/>
        </w:rPr>
      </w:r>
    </w:p>
    <w:p>
      <w:pPr>
        <w:pStyle w:val="ListParagraph"/>
        <w:numPr>
          <w:ilvl w:val="0"/>
          <w:numId w:val="27"/>
        </w:numPr>
        <w:shd w:val="clear" w:color="auto" w:fill="FFFFFF"/>
        <w:tabs>
          <w:tab w:val="clear" w:pos="709"/>
          <w:tab w:val="left" w:pos="284" w:leader="none"/>
        </w:tabs>
        <w:ind w:left="0" w:hanging="0"/>
        <w:jc w:val="center"/>
        <w:rPr>
          <w:b/>
          <w:bCs/>
        </w:rPr>
      </w:pPr>
      <w:r>
        <w:rPr>
          <w:b/>
          <w:bCs/>
        </w:rPr>
        <w:t>Ответственность Сторон</w:t>
      </w:r>
    </w:p>
    <w:p>
      <w:pPr>
        <w:pStyle w:val="ListParagraph"/>
        <w:numPr>
          <w:ilvl w:val="1"/>
          <w:numId w:val="27"/>
        </w:numPr>
        <w:shd w:val="clear" w:color="auto" w:fill="FFFFFF"/>
        <w:tabs>
          <w:tab w:val="clear" w:pos="709"/>
          <w:tab w:val="left" w:pos="0" w:leader="none"/>
          <w:tab w:val="left" w:pos="1134" w:leader="none"/>
        </w:tabs>
        <w:ind w:left="0" w:firstLine="709"/>
        <w:jc w:val="both"/>
        <w:rPr>
          <w:bCs/>
        </w:rPr>
      </w:pPr>
      <w:r>
        <w:rPr>
          <w:bCs/>
        </w:rPr>
        <w:t xml:space="preserve">За неисполнение или ненадлежащее исполнение принятых обязательств </w:t>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w:t>
        <w:br/>
        <w:t xml:space="preserve">не предусмотрено иное. </w:t>
      </w:r>
    </w:p>
    <w:p>
      <w:pPr>
        <w:pStyle w:val="Normal"/>
        <w:numPr>
          <w:ilvl w:val="1"/>
          <w:numId w:val="27"/>
        </w:numPr>
        <w:tabs>
          <w:tab w:val="clear" w:pos="709"/>
          <w:tab w:val="left" w:pos="0" w:leader="none"/>
          <w:tab w:val="left" w:pos="1134" w:leader="none"/>
        </w:tabs>
        <w:spacing w:lineRule="auto" w:line="240"/>
        <w:ind w:left="0" w:firstLine="709"/>
        <w:rPr>
          <w:bCs/>
          <w:sz w:val="24"/>
          <w:szCs w:val="24"/>
        </w:rPr>
      </w:pPr>
      <w:r>
        <w:rPr>
          <w:bCs/>
          <w:sz w:val="24"/>
          <w:szCs w:val="24"/>
        </w:rPr>
        <w:t xml:space="preserve">Заказчик не несет ответственность за ненадлежащее исполнение обязательств </w:t>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7"/>
        </w:numPr>
        <w:tabs>
          <w:tab w:val="clear" w:pos="709"/>
          <w:tab w:val="left" w:pos="0" w:leader="none"/>
          <w:tab w:val="left" w:pos="1134" w:leader="none"/>
        </w:tabs>
        <w:spacing w:lineRule="auto" w:line="240"/>
        <w:ind w:left="0" w:firstLine="709"/>
        <w:rPr>
          <w:sz w:val="24"/>
          <w:szCs w:val="24"/>
        </w:rPr>
      </w:pPr>
      <w:r>
        <w:rPr>
          <w:sz w:val="24"/>
          <w:szCs w:val="24"/>
        </w:rPr>
        <w:t>В случае нарушения Заказчиком сроков оплаты, установленных разделом 4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numPr>
          <w:ilvl w:val="1"/>
          <w:numId w:val="27"/>
        </w:numPr>
        <w:tabs>
          <w:tab w:val="clear" w:pos="709"/>
          <w:tab w:val="left" w:pos="0" w:leader="none"/>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поставке Оборудования (</w:t>
      </w:r>
      <w:r>
        <w:rPr>
          <w:rFonts w:eastAsia="Calibri"/>
          <w:bCs/>
          <w:sz w:val="24"/>
          <w:szCs w:val="24"/>
        </w:rPr>
        <w:t>нарушение срока поставки, недопоставка)</w:t>
      </w:r>
      <w:r>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 Результата Работ, Заказчик вправе требовать уплаты Подрядчиком:</w:t>
      </w:r>
    </w:p>
    <w:p>
      <w:pPr>
        <w:pStyle w:val="ListParagraph"/>
        <w:numPr>
          <w:ilvl w:val="2"/>
          <w:numId w:val="27"/>
        </w:numPr>
        <w:shd w:val="clear" w:color="auto" w:fill="FFFFFF"/>
        <w:tabs>
          <w:tab w:val="left" w:pos="0" w:leader="none"/>
          <w:tab w:val="left" w:pos="709" w:leader="none"/>
          <w:tab w:val="left" w:pos="1134" w:leader="none"/>
          <w:tab w:val="left" w:pos="1418" w:leader="none"/>
        </w:tabs>
        <w:ind w:left="0" w:firstLine="709"/>
        <w:jc w:val="both"/>
        <w:rPr>
          <w:bCs/>
        </w:rPr>
      </w:pPr>
      <w:r>
        <w:rPr/>
        <w:t>Неустойки в размере 0,1 (ноль целых и одна десятая) процента от стоимости Партии Оборудования / Этапа Работ за каждый день просрочки поставки Оборудования / выполнения Работ;</w:t>
      </w:r>
    </w:p>
    <w:p>
      <w:pPr>
        <w:pStyle w:val="ListParagraph"/>
        <w:numPr>
          <w:ilvl w:val="2"/>
          <w:numId w:val="27"/>
        </w:numPr>
        <w:shd w:val="clear" w:color="auto" w:fill="FFFFFF"/>
        <w:tabs>
          <w:tab w:val="left" w:pos="0" w:leader="none"/>
          <w:tab w:val="left" w:pos="709" w:leader="none"/>
          <w:tab w:val="left" w:pos="1134" w:leader="none"/>
          <w:tab w:val="left" w:pos="1418" w:leader="none"/>
        </w:tabs>
        <w:ind w:left="0" w:firstLine="709"/>
        <w:jc w:val="both"/>
        <w:rPr>
          <w:bCs/>
        </w:rPr>
      </w:pPr>
      <w:r>
        <w:rPr>
          <w:rFonts w:eastAsia="Calibri"/>
          <w:bCs/>
        </w:rPr>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 / Результата Работ. </w:t>
      </w:r>
    </w:p>
    <w:p>
      <w:pPr>
        <w:pStyle w:val="ListParagraph"/>
        <w:numPr>
          <w:ilvl w:val="2"/>
          <w:numId w:val="27"/>
        </w:numPr>
        <w:shd w:val="clear" w:color="auto" w:fill="FFFFFF"/>
        <w:tabs>
          <w:tab w:val="left" w:pos="0" w:leader="none"/>
          <w:tab w:val="left" w:pos="709" w:leader="none"/>
          <w:tab w:val="left" w:pos="1134" w:leader="none"/>
          <w:tab w:val="left" w:pos="1418" w:leader="none"/>
        </w:tabs>
        <w:ind w:left="0" w:firstLine="709"/>
        <w:jc w:val="both"/>
        <w:rPr>
          <w:bCs/>
        </w:rPr>
      </w:pPr>
      <w:r>
        <w:rPr>
          <w:rFonts w:eastAsia="Calibri"/>
          <w:bCs/>
        </w:rPr>
        <w:t>Неустойки в размере 0,1 (ноль целых и одна десятая) процента от стоимости Партии Оборудования /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 Результата Работ.</w:t>
      </w:r>
    </w:p>
    <w:p>
      <w:pPr>
        <w:pStyle w:val="Normal"/>
        <w:numPr>
          <w:ilvl w:val="1"/>
          <w:numId w:val="27"/>
        </w:numPr>
        <w:tabs>
          <w:tab w:val="clear" w:pos="709"/>
          <w:tab w:val="left" w:pos="0" w:leader="none"/>
          <w:tab w:val="left" w:pos="1134" w:leader="none"/>
        </w:tabs>
        <w:spacing w:lineRule="auto" w:line="240"/>
        <w:ind w:left="0" w:firstLine="709"/>
        <w:rPr>
          <w:bCs/>
          <w:sz w:val="24"/>
          <w:szCs w:val="24"/>
        </w:rPr>
      </w:pPr>
      <w:r>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Normal"/>
        <w:numPr>
          <w:ilvl w:val="1"/>
          <w:numId w:val="27"/>
        </w:numPr>
        <w:tabs>
          <w:tab w:val="clear" w:pos="709"/>
          <w:tab w:val="left" w:pos="0" w:leader="none"/>
          <w:tab w:val="left" w:pos="1134" w:leader="none"/>
        </w:tabs>
        <w:spacing w:lineRule="auto" w:line="240"/>
        <w:ind w:left="0" w:firstLine="709"/>
        <w:rPr>
          <w:bCs/>
          <w:sz w:val="24"/>
          <w:szCs w:val="24"/>
        </w:rPr>
      </w:pPr>
      <w:r>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Normal"/>
        <w:numPr>
          <w:ilvl w:val="1"/>
          <w:numId w:val="27"/>
        </w:numPr>
        <w:tabs>
          <w:tab w:val="clear" w:pos="709"/>
          <w:tab w:val="left" w:pos="0" w:leader="none"/>
          <w:tab w:val="left" w:pos="1134" w:leader="none"/>
        </w:tabs>
        <w:spacing w:lineRule="auto" w:line="240"/>
        <w:ind w:left="0" w:firstLine="709"/>
        <w:rPr>
          <w:bCs/>
          <w:sz w:val="24"/>
          <w:szCs w:val="24"/>
        </w:rPr>
      </w:pPr>
      <w:r>
        <w:rPr>
          <w:bCs/>
          <w:sz w:val="24"/>
          <w:szCs w:val="24"/>
        </w:rPr>
        <w:t xml:space="preserve">Если в результате составления и выставления Подрядчиком счетов-фактур/УПД </w:t>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счетов-фактур/УПД, установленных пунктом 5.9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27"/>
        </w:numPr>
        <w:shd w:val="clear" w:color="auto" w:fill="FFFFFF"/>
        <w:tabs>
          <w:tab w:val="clear" w:pos="709"/>
          <w:tab w:val="left" w:pos="1134" w:leader="none"/>
        </w:tabs>
        <w:ind w:left="0" w:firstLine="709"/>
        <w:jc w:val="both"/>
        <w:rPr/>
      </w:pPr>
      <w:r>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pPr>
        <w:pStyle w:val="ListParagraph"/>
        <w:numPr>
          <w:ilvl w:val="1"/>
          <w:numId w:val="27"/>
        </w:numPr>
        <w:tabs>
          <w:tab w:val="clear" w:pos="709"/>
          <w:tab w:val="left" w:pos="1276" w:leader="none"/>
        </w:tabs>
        <w:ind w:left="0" w:firstLine="709"/>
        <w:jc w:val="both"/>
        <w:rPr>
          <w:highlight w:val="lightGray"/>
        </w:rPr>
      </w:pPr>
      <w:r>
        <w:rPr>
          <w:highlight w:val="lightGray"/>
        </w:rPr>
        <w:t xml:space="preserve">В случае если неисполнение / ненадлежащее исполнение </w:t>
      </w:r>
      <w:r>
        <w:rPr>
          <w:bCs/>
          <w:highlight w:val="lightGray"/>
        </w:rPr>
        <w:t>Подрядчиком</w:t>
      </w:r>
      <w:r>
        <w:rPr>
          <w:highlight w:val="lightGray"/>
        </w:rPr>
        <w:t xml:space="preserve">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Pr>
          <w:bCs/>
          <w:highlight w:val="lightGray"/>
        </w:rPr>
        <w:t>Подрядчик</w:t>
      </w:r>
      <w:r>
        <w:rPr>
          <w:highlight w:val="lightGray"/>
        </w:rPr>
        <w:t xml:space="preserve">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w:t>
      </w:r>
      <w:r>
        <w:rPr>
          <w:bCs/>
          <w:highlight w:val="lightGray"/>
        </w:rPr>
        <w:t>Подрядчиком</w:t>
      </w:r>
      <w:r>
        <w:rPr>
          <w:highlight w:val="lightGray"/>
        </w:rPr>
        <w:t xml:space="preserve"> своих обязательств.</w:t>
      </w:r>
    </w:p>
    <w:p>
      <w:pPr>
        <w:pStyle w:val="Normal"/>
        <w:tabs>
          <w:tab w:val="clear" w:pos="709"/>
          <w:tab w:val="left" w:pos="1701" w:leader="none"/>
        </w:tabs>
        <w:spacing w:lineRule="auto" w:line="240"/>
        <w:ind w:firstLine="709"/>
        <w:rPr>
          <w:sz w:val="24"/>
          <w:highlight w:val="lightGray"/>
        </w:rPr>
      </w:pPr>
      <w:r>
        <w:rPr>
          <w:sz w:val="24"/>
          <w:highlight w:val="lightGray"/>
        </w:rPr>
        <w:t xml:space="preserve">Кроме суммы реального ущерба, </w:t>
      </w:r>
      <w:r>
        <w:rPr>
          <w:bCs/>
          <w:sz w:val="24"/>
          <w:highlight w:val="lightGray"/>
        </w:rPr>
        <w:t>Подрядчик</w:t>
      </w:r>
      <w:r>
        <w:rPr>
          <w:sz w:val="24"/>
          <w:highlight w:val="lightGray"/>
        </w:rPr>
        <w:t xml:space="preserve">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pPr>
        <w:pStyle w:val="Normal"/>
        <w:tabs>
          <w:tab w:val="clear" w:pos="709"/>
          <w:tab w:val="left" w:pos="1701" w:leader="none"/>
        </w:tabs>
        <w:spacing w:lineRule="auto" w:line="240"/>
        <w:ind w:firstLine="709"/>
        <w:rPr>
          <w:sz w:val="24"/>
          <w:highlight w:val="lightGray"/>
        </w:rPr>
      </w:pPr>
      <w:r>
        <w:rPr>
          <w:sz w:val="24"/>
          <w:highlight w:val="lightGray"/>
        </w:rPr>
        <w:t>Размер упущенной выгоды (выручки) подтверждается (по выбору Заказчика):</w:t>
      </w:r>
    </w:p>
    <w:p>
      <w:pPr>
        <w:pStyle w:val="Normal"/>
        <w:numPr>
          <w:ilvl w:val="0"/>
          <w:numId w:val="31"/>
        </w:numPr>
        <w:tabs>
          <w:tab w:val="clear" w:pos="709"/>
          <w:tab w:val="left" w:pos="1134" w:leader="none"/>
        </w:tabs>
        <w:spacing w:lineRule="auto" w:line="240"/>
        <w:ind w:left="0" w:firstLine="709"/>
        <w:rPr>
          <w:sz w:val="24"/>
          <w:highlight w:val="lightGray"/>
        </w:rPr>
      </w:pPr>
      <w:r>
        <w:rPr>
          <w:sz w:val="24"/>
          <w:szCs w:val="24"/>
          <w:highlight w:val="lightGray"/>
        </w:rPr>
        <w:t>в ценовой зоне оптового рынка:</w:t>
      </w:r>
    </w:p>
    <w:p>
      <w:pPr>
        <w:pStyle w:val="Normal"/>
        <w:tabs>
          <w:tab w:val="clear" w:pos="709"/>
          <w:tab w:val="left" w:pos="1134" w:leader="none"/>
        </w:tabs>
        <w:spacing w:lineRule="auto" w:line="240"/>
        <w:ind w:firstLine="709"/>
        <w:rPr>
          <w:sz w:val="24"/>
          <w:highlight w:val="lightGray"/>
        </w:rPr>
      </w:pPr>
      <w:r>
        <w:rPr>
          <w:sz w:val="24"/>
          <w:highlight w:val="lightGray"/>
        </w:rPr>
        <w:t xml:space="preserve">расчетом, подготовленным Коммерческим оператором оптового рынка; </w:t>
      </w:r>
    </w:p>
    <w:p>
      <w:pPr>
        <w:pStyle w:val="Normal"/>
        <w:tabs>
          <w:tab w:val="clear" w:pos="709"/>
          <w:tab w:val="left" w:pos="1134" w:leader="none"/>
        </w:tabs>
        <w:spacing w:lineRule="auto" w:line="240"/>
        <w:ind w:firstLine="709"/>
        <w:rPr>
          <w:sz w:val="24"/>
          <w:highlight w:val="lightGray"/>
        </w:rPr>
      </w:pPr>
      <w:r>
        <w:rPr>
          <w:sz w:val="24"/>
          <w:highlight w:val="lightGray"/>
        </w:rPr>
        <w:t>и / или</w:t>
      </w:r>
    </w:p>
    <w:p>
      <w:pPr>
        <w:pStyle w:val="Normal"/>
        <w:tabs>
          <w:tab w:val="clear" w:pos="709"/>
          <w:tab w:val="left" w:pos="1134" w:leader="none"/>
        </w:tabs>
        <w:spacing w:lineRule="auto" w:line="240"/>
        <w:ind w:firstLine="709"/>
        <w:rPr>
          <w:sz w:val="24"/>
          <w:highlight w:val="lightGray"/>
        </w:rPr>
      </w:pPr>
      <w:r>
        <w:rPr>
          <w:sz w:val="24"/>
          <w:highlight w:val="lightGray"/>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pPr>
        <w:pStyle w:val="Normal"/>
        <w:numPr>
          <w:ilvl w:val="0"/>
          <w:numId w:val="31"/>
        </w:numPr>
        <w:tabs>
          <w:tab w:val="clear" w:pos="709"/>
          <w:tab w:val="left" w:pos="1134" w:leader="none"/>
        </w:tabs>
        <w:spacing w:lineRule="auto" w:line="240"/>
        <w:ind w:left="0" w:firstLine="709"/>
        <w:rPr>
          <w:sz w:val="24"/>
          <w:highlight w:val="lightGray"/>
        </w:rPr>
      </w:pPr>
      <w:r>
        <w:rPr>
          <w:rFonts w:eastAsia="Times New Roman" w:cs="Times New Roman"/>
          <w:color w:val="auto"/>
          <w:kern w:val="0"/>
          <w:sz w:val="24"/>
          <w:szCs w:val="24"/>
          <w:highlight w:val="lightGray"/>
          <w:lang w:val="ru-RU" w:eastAsia="ru-RU" w:bidi="ar-SA"/>
        </w:rPr>
        <w:t>в о</w:t>
      </w:r>
      <w:r>
        <w:rPr>
          <w:sz w:val="24"/>
          <w:szCs w:val="24"/>
          <w:highlight w:val="lightGray"/>
        </w:rPr>
        <w:t xml:space="preserve">тдельной территории ценовой зоны оптового рынка, ранее относившейся к неценовой зоне оптового рынка Дальнего Востока: </w:t>
      </w:r>
    </w:p>
    <w:p>
      <w:pPr>
        <w:pStyle w:val="Normal"/>
        <w:tabs>
          <w:tab w:val="clear" w:pos="709"/>
          <w:tab w:val="left" w:pos="1134" w:leader="none"/>
        </w:tabs>
        <w:spacing w:lineRule="auto" w:line="240"/>
        <w:ind w:firstLine="709"/>
        <w:rPr>
          <w:sz w:val="24"/>
          <w:highlight w:val="lightGray"/>
        </w:rPr>
      </w:pPr>
      <w:r>
        <w:rPr>
          <w:sz w:val="24"/>
          <w:highlight w:val="lightGray"/>
        </w:rPr>
        <w:t>до даты утверждения Наблюдательным советом Ассоциации «НП Совет рынка» методики определения в 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16 к Договору);</w:t>
      </w:r>
    </w:p>
    <w:p>
      <w:pPr>
        <w:pStyle w:val="Normal"/>
        <w:tabs>
          <w:tab w:val="clear" w:pos="709"/>
          <w:tab w:val="left" w:pos="1134" w:leader="none"/>
        </w:tabs>
        <w:spacing w:lineRule="auto" w:line="240"/>
        <w:ind w:firstLine="709"/>
        <w:rPr>
          <w:sz w:val="24"/>
          <w:highlight w:val="lightGray"/>
        </w:rPr>
      </w:pPr>
      <w:r>
        <w:rPr>
          <w:sz w:val="24"/>
          <w:highlight w:val="lightGray"/>
        </w:rPr>
        <w:t>после утверждения Наблюдательным советом Ассоциации «НП Совет рынка» методики определения в ценовых зонах ОРЭМ упущенной выручки от недопоставки электрической энергии и мощности на ОРЭМ:</w:t>
      </w:r>
    </w:p>
    <w:p>
      <w:pPr>
        <w:pStyle w:val="Normal"/>
        <w:tabs>
          <w:tab w:val="clear" w:pos="709"/>
          <w:tab w:val="left" w:pos="1134" w:leader="none"/>
        </w:tabs>
        <w:spacing w:lineRule="auto" w:line="240"/>
        <w:ind w:firstLine="709"/>
        <w:rPr>
          <w:sz w:val="24"/>
          <w:highlight w:val="lightGray"/>
        </w:rPr>
      </w:pPr>
      <w:r>
        <w:rPr>
          <w:sz w:val="24"/>
          <w:highlight w:val="lightGray"/>
        </w:rPr>
        <w:t xml:space="preserve">расчетом, подготовленным Коммерческим оператором оптового рынка; </w:t>
      </w:r>
    </w:p>
    <w:p>
      <w:pPr>
        <w:pStyle w:val="Normal"/>
        <w:tabs>
          <w:tab w:val="clear" w:pos="709"/>
          <w:tab w:val="left" w:pos="1134" w:leader="none"/>
        </w:tabs>
        <w:spacing w:lineRule="auto" w:line="240"/>
        <w:ind w:firstLine="709"/>
        <w:rPr>
          <w:sz w:val="24"/>
          <w:highlight w:val="lightGray"/>
        </w:rPr>
      </w:pPr>
      <w:r>
        <w:rPr>
          <w:sz w:val="24"/>
          <w:highlight w:val="lightGray"/>
        </w:rPr>
        <w:t>и / или</w:t>
      </w:r>
    </w:p>
    <w:p>
      <w:pPr>
        <w:pStyle w:val="Normal"/>
        <w:tabs>
          <w:tab w:val="clear" w:pos="709"/>
          <w:tab w:val="left" w:pos="1134" w:leader="none"/>
        </w:tabs>
        <w:spacing w:lineRule="auto" w:line="240"/>
        <w:ind w:firstLine="709"/>
        <w:rPr>
          <w:sz w:val="24"/>
          <w:highlight w:val="lightGray"/>
        </w:rPr>
      </w:pPr>
      <w:r>
        <w:rPr>
          <w:sz w:val="24"/>
          <w:highlight w:val="lightGray"/>
        </w:rPr>
        <w:t>расчетом, подготовленным Заказчиком на основании методики, утвержденной Наблюдательным советом Ассоциации «НП Совет рынка».</w:t>
      </w:r>
    </w:p>
    <w:p>
      <w:pPr>
        <w:pStyle w:val="Normal"/>
        <w:tabs>
          <w:tab w:val="clear" w:pos="709"/>
          <w:tab w:val="left" w:pos="1701" w:leader="none"/>
        </w:tabs>
        <w:spacing w:lineRule="auto" w:line="240"/>
        <w:ind w:firstLine="709"/>
        <w:rPr>
          <w:sz w:val="24"/>
          <w:highlight w:val="lightGray"/>
        </w:rPr>
      </w:pPr>
      <w:r>
        <w:rPr>
          <w:sz w:val="24"/>
          <w:highlight w:val="lightGray"/>
        </w:rPr>
        <w:t xml:space="preserve">В отношении вновь вводимого оборудования ГЭС / ГАЭС – объектов ДПМ, ДПМ ВИЭ в ценовых зонах ОРЭМ </w:t>
      </w:r>
      <w:r>
        <w:rPr>
          <w:bCs/>
          <w:sz w:val="24"/>
          <w:highlight w:val="lightGray"/>
        </w:rPr>
        <w:t>Подрядчик</w:t>
      </w:r>
      <w:r>
        <w:rPr>
          <w:sz w:val="24"/>
          <w:highlight w:val="lightGray"/>
        </w:rPr>
        <w:t xml:space="preserve"> дополнительно компенсирует Заказчику упущенную выгоду (выручку) в связи с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pPr>
        <w:pStyle w:val="Normal"/>
        <w:tabs>
          <w:tab w:val="clear" w:pos="709"/>
          <w:tab w:val="left" w:pos="1701" w:leader="none"/>
        </w:tabs>
        <w:spacing w:lineRule="auto" w:line="240"/>
        <w:ind w:firstLine="709"/>
        <w:rPr>
          <w:sz w:val="24"/>
          <w:highlight w:val="lightGray"/>
        </w:rPr>
      </w:pPr>
      <w:r>
        <w:rPr>
          <w:sz w:val="24"/>
          <w:highlight w:val="lightGray"/>
        </w:rPr>
        <w:t>В</w:t>
      </w:r>
      <w:r>
        <w:rPr>
          <w:sz w:val="24"/>
          <w:szCs w:val="24"/>
          <w:highlight w:val="lightGray"/>
        </w:rPr>
        <w:t xml:space="preserve"> отношении вновь вводимого (модернизируемого) оборудования ТЭС в отдельной территории ценовой зоны оптового рынка, ранее относившейся к неценовой зоне оптового рынка Дальнего Востока, Подрядчик дополнительно компенсирует Заказчику упущенную выгоду (выручку) в с </w:t>
      </w:r>
      <w:r>
        <w:rPr>
          <w:sz w:val="24"/>
          <w:highlight w:val="lightGray"/>
        </w:rPr>
        <w:t xml:space="preserve">связи: </w:t>
      </w:r>
    </w:p>
    <w:p>
      <w:pPr>
        <w:pStyle w:val="ListParagraph"/>
        <w:numPr>
          <w:ilvl w:val="2"/>
          <w:numId w:val="27"/>
        </w:numPr>
        <w:tabs>
          <w:tab w:val="clear" w:pos="709"/>
          <w:tab w:val="left" w:pos="1701" w:leader="none"/>
        </w:tabs>
        <w:ind w:left="0" w:firstLine="709"/>
        <w:jc w:val="both"/>
        <w:rPr>
          <w:highlight w:val="lightGray"/>
        </w:rPr>
      </w:pPr>
      <w:r>
        <w:rPr>
          <w:highlight w:val="lightGray"/>
        </w:rPr>
        <w:t>С неоплатой мощности из-за просрочки исполнения обязательства по поставке мощности от модернизированного объекта.</w:t>
      </w:r>
    </w:p>
    <w:p>
      <w:pPr>
        <w:pStyle w:val="Normal"/>
        <w:tabs>
          <w:tab w:val="clear" w:pos="709"/>
          <w:tab w:val="left" w:pos="1701" w:leader="none"/>
        </w:tabs>
        <w:spacing w:lineRule="auto" w:line="240"/>
        <w:ind w:firstLine="709"/>
        <w:rPr>
          <w:sz w:val="24"/>
          <w:highlight w:val="lightGray"/>
        </w:rPr>
      </w:pPr>
      <w:r>
        <w:rPr>
          <w:sz w:val="24"/>
          <w:highlight w:val="lightGray"/>
        </w:rPr>
        <w:t>Размер упущенной выгоды для каждого месяца просрочки определяется</w:t>
      </w:r>
      <w:r>
        <w:rPr>
          <w:sz w:val="24"/>
          <w:szCs w:val="24"/>
          <w:highlight w:val="lightGray"/>
        </w:rPr>
        <w:t xml:space="preserve"> в соответствии с Правилами ОРЭМ.</w:t>
      </w:r>
    </w:p>
    <w:p>
      <w:pPr>
        <w:pStyle w:val="ListParagraph"/>
        <w:numPr>
          <w:ilvl w:val="2"/>
          <w:numId w:val="27"/>
        </w:numPr>
        <w:tabs>
          <w:tab w:val="clear" w:pos="709"/>
          <w:tab w:val="left" w:pos="1701" w:leader="none"/>
        </w:tabs>
        <w:ind w:left="0" w:firstLine="709"/>
        <w:jc w:val="both"/>
        <w:rPr>
          <w:highlight w:val="lightGray"/>
        </w:rPr>
      </w:pPr>
      <w:r>
        <w:rPr>
          <w:highlight w:val="lightGray"/>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определенную в соответствии с решением Правительства Российской Федерации.</w:t>
      </w:r>
    </w:p>
    <w:p>
      <w:pPr>
        <w:pStyle w:val="Normal"/>
        <w:tabs>
          <w:tab w:val="clear" w:pos="709"/>
          <w:tab w:val="left" w:pos="1701" w:leader="none"/>
        </w:tabs>
        <w:spacing w:lineRule="auto" w:line="240"/>
        <w:ind w:firstLine="709"/>
        <w:rPr>
          <w:sz w:val="24"/>
          <w:highlight w:val="lightGray"/>
        </w:rPr>
      </w:pPr>
      <w:r>
        <w:rPr>
          <w:sz w:val="24"/>
          <w:highlight w:val="lightGray"/>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pPr>
        <w:pStyle w:val="ListParagraph"/>
        <w:numPr>
          <w:ilvl w:val="2"/>
          <w:numId w:val="27"/>
        </w:numPr>
        <w:tabs>
          <w:tab w:val="clear" w:pos="709"/>
          <w:tab w:val="left" w:pos="1701" w:leader="none"/>
        </w:tabs>
        <w:ind w:left="0" w:firstLine="709"/>
        <w:jc w:val="both"/>
        <w:rPr>
          <w:highlight w:val="lightGray"/>
        </w:rPr>
      </w:pPr>
      <w:r>
        <w:rPr>
          <w:highlight w:val="lightGray"/>
        </w:rPr>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отдельной территории ценовой зоны оптового рынка, ранее относившейся к неценовой зоне оптового рынка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для каждого месяца просрочки определяется в соответствии с  Правилами ОРЭМ</w:t>
      </w:r>
      <w:r>
        <w:rPr>
          <w:rStyle w:val="FootnoteReference"/>
          <w:highlight w:val="lightGray"/>
        </w:rPr>
        <w:footnoteReference w:id="16"/>
      </w:r>
      <w:r>
        <w:rPr>
          <w:highlight w:val="lightGray"/>
        </w:rPr>
        <w:t>.</w:t>
      </w:r>
    </w:p>
    <w:p>
      <w:pPr>
        <w:pStyle w:val="ListParagraph"/>
        <w:shd w:val="clear" w:color="auto" w:fill="FFFFFF"/>
        <w:tabs>
          <w:tab w:val="clear" w:pos="709"/>
          <w:tab w:val="left" w:pos="1134" w:leader="none"/>
        </w:tabs>
        <w:ind w:left="0" w:firstLine="709"/>
        <w:jc w:val="both"/>
        <w:rPr>
          <w:bCs/>
          <w:highlight w:val="lightGray"/>
        </w:rPr>
      </w:pPr>
      <w:r>
        <w:rPr>
          <w:highlight w:val="lightGray"/>
        </w:rPr>
        <w:t>Методика</w:t>
      </w:r>
      <w:r>
        <w:rPr>
          <w:sz w:val="24"/>
          <w:szCs w:val="28"/>
          <w:highlight w:val="lightGray"/>
        </w:rPr>
        <w:t xml:space="preserve">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w:t>
      </w:r>
      <w:r>
        <w:rPr>
          <w:highlight w:val="lightGray"/>
        </w:rPr>
        <w:t>Дальнего Востока изложена в Приложении № 16 к Договору.</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Подрядчик несет ответственность перед Заказчиком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7"/>
        </w:numPr>
        <w:shd w:val="clear" w:color="auto" w:fill="FFFFFF"/>
        <w:tabs>
          <w:tab w:val="clear" w:pos="709"/>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7"/>
        </w:numPr>
        <w:shd w:val="clear" w:color="auto" w:fill="FFFFFF"/>
        <w:tabs>
          <w:tab w:val="clear" w:pos="709"/>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w:t>
      </w:r>
      <w:r>
        <w:rPr>
          <w:bCs/>
          <w:shd w:fill="auto" w:val="clear"/>
        </w:rPr>
        <w:t>бовании,</w:t>
      </w:r>
      <w:r>
        <w:rPr>
          <w:shd w:fill="auto" w:val="clear"/>
        </w:rPr>
        <w:t xml:space="preserve"> </w:t>
      </w:r>
      <w:r>
        <w:rPr>
          <w:bCs/>
          <w:shd w:fill="auto" w:val="clear"/>
        </w:rPr>
        <w:t>сумма неустойки, подлежащая уплате виновной Стороной, определяется на основании решения суда.</w:t>
      </w:r>
    </w:p>
    <w:p>
      <w:pPr>
        <w:pStyle w:val="Normal"/>
        <w:spacing w:lineRule="auto" w:line="240"/>
        <w:rPr>
          <w:b/>
          <w:color w:val="000000"/>
          <w:sz w:val="24"/>
          <w:szCs w:val="24"/>
          <w:highlight w:val="none"/>
          <w:shd w:fill="auto" w:val="clear"/>
        </w:rPr>
      </w:pPr>
      <w:r>
        <w:rPr>
          <w:b/>
          <w:color w:val="000000"/>
          <w:sz w:val="24"/>
          <w:szCs w:val="24"/>
          <w:shd w:fill="auto" w:val="clear"/>
        </w:rPr>
      </w:r>
    </w:p>
    <w:p>
      <w:pPr>
        <w:pStyle w:val="ListParagraph"/>
        <w:numPr>
          <w:ilvl w:val="0"/>
          <w:numId w:val="27"/>
        </w:numPr>
        <w:shd w:val="clear" w:color="auto" w:fill="FFFFFF"/>
        <w:tabs>
          <w:tab w:val="clear" w:pos="709"/>
          <w:tab w:val="left" w:pos="284" w:leader="none"/>
        </w:tabs>
        <w:ind w:left="0" w:hanging="0"/>
        <w:jc w:val="center"/>
        <w:rPr>
          <w:highlight w:val="none"/>
          <w:shd w:fill="auto" w:val="clear"/>
        </w:rPr>
      </w:pPr>
      <w:r>
        <w:rPr>
          <w:b/>
          <w:bCs/>
          <w:shd w:fill="auto" w:val="clear"/>
        </w:rPr>
        <w:t>Гарантии качества Результата Работ</w:t>
      </w:r>
    </w:p>
    <w:p>
      <w:pPr>
        <w:pStyle w:val="Normal"/>
        <w:numPr>
          <w:ilvl w:val="1"/>
          <w:numId w:val="27"/>
        </w:numPr>
        <w:tabs>
          <w:tab w:val="clear" w:pos="709"/>
          <w:tab w:val="left" w:pos="1134" w:leader="none"/>
        </w:tabs>
        <w:spacing w:lineRule="auto" w:line="240"/>
        <w:ind w:left="0" w:firstLine="709"/>
        <w:rPr>
          <w:highlight w:val="none"/>
          <w:shd w:fill="auto" w:val="clear"/>
        </w:rPr>
      </w:pPr>
      <w:bookmarkStart w:id="37" w:name="_Ref361337777"/>
      <w:r>
        <w:rPr>
          <w:sz w:val="24"/>
          <w:szCs w:val="24"/>
          <w:shd w:fill="auto" w:val="clear"/>
        </w:rPr>
        <w:t>Гарантийный</w:t>
      </w:r>
      <w:r>
        <w:rPr>
          <w:bCs/>
          <w:sz w:val="24"/>
          <w:szCs w:val="24"/>
          <w:shd w:fill="auto" w:val="clear"/>
        </w:rPr>
        <w:t xml:space="preserve"> срок по Договору составляет </w:t>
      </w:r>
      <w:r>
        <w:rPr>
          <w:sz w:val="24"/>
          <w:szCs w:val="24"/>
          <w:shd w:fill="auto" w:val="clear"/>
        </w:rPr>
        <w:t xml:space="preserve">36 </w:t>
      </w:r>
      <w:r>
        <w:rPr>
          <w:bCs/>
          <w:sz w:val="24"/>
          <w:szCs w:val="24"/>
          <w:shd w:fill="auto" w:val="clear"/>
        </w:rPr>
        <w:t>(тридцать шесть)</w:t>
      </w:r>
      <w:r>
        <w:rPr>
          <w:sz w:val="24"/>
          <w:szCs w:val="24"/>
          <w:shd w:fill="auto" w:val="clear"/>
        </w:rPr>
        <w:t xml:space="preserve"> месяцев </w:t>
      </w:r>
      <w:r>
        <w:rPr>
          <w:bCs/>
          <w:sz w:val="24"/>
          <w:szCs w:val="24"/>
          <w:shd w:fill="auto" w:val="clear"/>
        </w:rPr>
        <w:t>и начинает течь с даты подписания Сторонами А</w:t>
      </w:r>
      <w:r>
        <w:rPr>
          <w:sz w:val="24"/>
          <w:szCs w:val="24"/>
          <w:shd w:fill="auto" w:val="clear"/>
        </w:rPr>
        <w:t>кта КС-11</w:t>
      </w:r>
      <w:r>
        <w:rPr>
          <w:bCs/>
          <w:sz w:val="24"/>
          <w:szCs w:val="24"/>
          <w:shd w:fill="auto" w:val="clear"/>
        </w:rPr>
        <w:t xml:space="preserve"> </w:t>
      </w:r>
      <w:bookmarkEnd w:id="37"/>
      <w:r>
        <w:rPr>
          <w:bCs/>
          <w:sz w:val="24"/>
          <w:szCs w:val="24"/>
          <w:shd w:fill="auto" w:val="clear"/>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27"/>
        </w:numPr>
        <w:shd w:val="clear" w:color="auto" w:fill="FFFFFF"/>
        <w:tabs>
          <w:tab w:val="clear" w:pos="709"/>
          <w:tab w:val="left" w:pos="568" w:leader="none"/>
          <w:tab w:val="left" w:pos="1134" w:leader="none"/>
        </w:tabs>
        <w:ind w:left="0" w:firstLine="709"/>
        <w:jc w:val="both"/>
        <w:rPr>
          <w:bCs/>
        </w:rPr>
      </w:pPr>
      <w:r>
        <w:rPr>
          <w:bCs/>
          <w:shd w:fill="auto" w:val="clear"/>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w:t>
      </w:r>
      <w:r>
        <w:rPr>
          <w:bCs/>
        </w:rPr>
        <w:t>арантийных обязательств по выполненным Подрядчиком Работам.</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pPr>
        <w:pStyle w:val="ListParagraph"/>
        <w:numPr>
          <w:ilvl w:val="1"/>
          <w:numId w:val="27"/>
        </w:numPr>
        <w:shd w:val="clear" w:color="auto" w:fill="FFFFFF"/>
        <w:tabs>
          <w:tab w:val="clear" w:pos="709"/>
          <w:tab w:val="left" w:pos="1134" w:leader="none"/>
        </w:tabs>
        <w:ind w:left="0" w:firstLine="709"/>
        <w:jc w:val="both"/>
        <w:rPr>
          <w:bCs/>
        </w:rPr>
      </w:pPr>
      <w:bookmarkStart w:id="38" w:name="_Ref361337764"/>
      <w:r>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br/>
        <w:t>и сроков их устранения.</w:t>
      </w:r>
      <w:bookmarkEnd w:id="38"/>
      <w:r>
        <w:rPr>
          <w:bCs/>
        </w:rPr>
        <w:t xml:space="preserve"> </w:t>
      </w:r>
    </w:p>
    <w:p>
      <w:pPr>
        <w:pStyle w:val="ListParagraph"/>
        <w:numPr>
          <w:ilvl w:val="1"/>
          <w:numId w:val="27"/>
        </w:numPr>
        <w:shd w:val="clear" w:color="auto" w:fill="FFFFFF"/>
        <w:tabs>
          <w:tab w:val="clear" w:pos="709"/>
          <w:tab w:val="left" w:pos="1134" w:leader="none"/>
        </w:tabs>
        <w:ind w:left="0" w:firstLine="709"/>
        <w:jc w:val="both"/>
        <w:rPr>
          <w:bCs/>
        </w:rPr>
      </w:pPr>
      <w:r>
        <w:rPr>
          <w:bCs/>
        </w:rPr>
        <w:t>Наличие и полный перечень недостатков,</w:t>
      </w:r>
      <w:r>
        <w:rPr/>
        <w:t xml:space="preserve"> </w:t>
      </w:r>
      <w:r>
        <w:rPr>
          <w:bCs/>
        </w:rPr>
        <w:t xml:space="preserve">несоответствий и / или дефектов Результата Работ, а также разумные сроки их устранения, оформляются Актом </w:t>
        <w:br/>
        <w:t xml:space="preserve">о недостатках, составляемым Сторонами, а при отказе или уклонении Подрядчика </w:t>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br/>
        <w:t xml:space="preserve">в одностороннем порядке Акт о недостатках имеет для Подрядчика юридическую силу </w:t>
        <w:br/>
        <w:t>и является основанием для привлечения его к ответственности в порядке и размерах, установленных Договором.</w:t>
      </w:r>
    </w:p>
    <w:p>
      <w:pPr>
        <w:pStyle w:val="ListParagraph"/>
        <w:numPr>
          <w:ilvl w:val="1"/>
          <w:numId w:val="27"/>
        </w:numPr>
        <w:shd w:val="clear" w:color="auto" w:fill="FFFFFF"/>
        <w:tabs>
          <w:tab w:val="clear" w:pos="709"/>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w:t>
        <w:br/>
        <w:t xml:space="preserve">в срок, указанный в </w:t>
      </w:r>
      <w:bookmarkStart w:id="39" w:name="OLE_LINK6"/>
      <w:bookmarkStart w:id="40" w:name="OLE_LINK5"/>
      <w:r>
        <w:rPr>
          <w:bCs/>
        </w:rPr>
        <w:t>Акте о недостатках, составленном в порядке, установленном пунктом 9.5 Договора</w:t>
      </w:r>
      <w:bookmarkEnd w:id="39"/>
      <w:bookmarkEnd w:id="40"/>
      <w:r>
        <w:rPr>
          <w:bCs/>
        </w:rPr>
        <w:t>.</w:t>
      </w:r>
      <w:r>
        <w:rPr/>
        <w:t xml:space="preserve"> </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pPr>
        <w:pStyle w:val="ListParagraph"/>
        <w:numPr>
          <w:ilvl w:val="1"/>
          <w:numId w:val="27"/>
        </w:numPr>
        <w:shd w:val="clear" w:color="auto" w:fill="FFFFFF"/>
        <w:tabs>
          <w:tab w:val="clear" w:pos="709"/>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9"/>
          <w:tab w:val="left" w:pos="566" w:leader="none"/>
        </w:tabs>
        <w:spacing w:lineRule="auto" w:line="240"/>
        <w:ind w:hanging="0"/>
        <w:rPr>
          <w:color w:val="000000"/>
          <w:sz w:val="24"/>
          <w:szCs w:val="24"/>
        </w:rPr>
      </w:pPr>
      <w:r>
        <w:rPr>
          <w:color w:val="000000"/>
          <w:sz w:val="24"/>
          <w:szCs w:val="24"/>
        </w:rPr>
      </w:r>
    </w:p>
    <w:p>
      <w:pPr>
        <w:pStyle w:val="ListParagraph"/>
        <w:numPr>
          <w:ilvl w:val="0"/>
          <w:numId w:val="27"/>
        </w:numPr>
        <w:shd w:val="clear" w:color="auto" w:fill="FFFFFF"/>
        <w:tabs>
          <w:tab w:val="clear" w:pos="709"/>
          <w:tab w:val="left" w:pos="426" w:leader="none"/>
        </w:tabs>
        <w:ind w:left="0" w:hanging="0"/>
        <w:jc w:val="center"/>
        <w:rPr>
          <w:b/>
          <w:bCs/>
        </w:rPr>
      </w:pPr>
      <w:r>
        <w:rPr>
          <w:b/>
          <w:bCs/>
        </w:rPr>
        <w:t>Исключительные права и патенты</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27"/>
        </w:numPr>
        <w:shd w:val="clear" w:color="auto" w:fill="FFFFFF"/>
        <w:tabs>
          <w:tab w:val="clear" w:pos="709"/>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bCs/>
        </w:rPr>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 xml:space="preserve">что Подрядчик передаст Заказчику неисключительные права (неисключительную лицензию) </w:t>
        <w:br/>
        <w:t>на право использования такого результата</w:t>
      </w:r>
      <w:r>
        <w:rPr/>
        <w:t xml:space="preserve"> </w:t>
      </w:r>
      <w:r>
        <w:rPr>
          <w:bCs/>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7"/>
        </w:numPr>
        <w:shd w:val="clear" w:color="auto" w:fill="FFFFFF"/>
        <w:tabs>
          <w:tab w:val="clear" w:pos="709"/>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pPr>
        <w:pStyle w:val="ListParagraph"/>
        <w:shd w:val="clear" w:color="auto" w:fill="FFFFFF"/>
        <w:tabs>
          <w:tab w:val="clear" w:pos="709"/>
          <w:tab w:val="left" w:pos="1134" w:leader="none"/>
        </w:tabs>
        <w:ind w:left="0" w:hanging="0"/>
        <w:jc w:val="both"/>
        <w:rPr>
          <w:bCs/>
        </w:rPr>
      </w:pPr>
      <w:r>
        <w:rPr>
          <w:bCs/>
        </w:rPr>
      </w:r>
    </w:p>
    <w:p>
      <w:pPr>
        <w:pStyle w:val="ListParagraph"/>
        <w:numPr>
          <w:ilvl w:val="0"/>
          <w:numId w:val="27"/>
        </w:numPr>
        <w:shd w:val="clear" w:color="auto" w:fill="FFFFFF"/>
        <w:tabs>
          <w:tab w:val="clear" w:pos="709"/>
          <w:tab w:val="left" w:pos="426" w:leader="none"/>
        </w:tabs>
        <w:ind w:left="0" w:hanging="0"/>
        <w:jc w:val="center"/>
        <w:rPr>
          <w:b/>
          <w:bCs/>
        </w:rPr>
      </w:pPr>
      <w:r>
        <w:rPr>
          <w:b/>
          <w:bCs/>
        </w:rPr>
        <w:t>Конфиденциальность</w:t>
      </w:r>
    </w:p>
    <w:p>
      <w:pPr>
        <w:pStyle w:val="ListParagraph"/>
        <w:numPr>
          <w:ilvl w:val="1"/>
          <w:numId w:val="27"/>
        </w:numPr>
        <w:shd w:val="clear" w:color="auto" w:fill="FFFFFF"/>
        <w:tabs>
          <w:tab w:val="clear" w:pos="709"/>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7"/>
        </w:numPr>
        <w:tabs>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7"/>
        </w:numPr>
        <w:tabs>
          <w:tab w:val="left" w:pos="709" w:leader="none"/>
          <w:tab w:val="left" w:pos="1418" w:leader="none"/>
        </w:tabs>
        <w:spacing w:lineRule="auto" w:line="240"/>
        <w:ind w:left="0" w:firstLine="709"/>
        <w:rPr>
          <w:bCs/>
          <w:sz w:val="24"/>
          <w:szCs w:val="24"/>
        </w:rPr>
      </w:pPr>
      <w:r>
        <w:rPr>
          <w:bCs/>
          <w:sz w:val="24"/>
          <w:szCs w:val="24"/>
        </w:rPr>
        <w:t xml:space="preserve">данная Информация не относится к категории общедоступной </w:t>
        <w:br/>
        <w:t>или обязательной к раскрытию Заказчиком в соответствии с законодательством Российской Федерации.</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7"/>
        </w:numPr>
        <w:shd w:val="clear" w:color="auto" w:fill="FFFFFF"/>
        <w:tabs>
          <w:tab w:val="clear" w:pos="709"/>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7"/>
        </w:numPr>
        <w:shd w:val="clear" w:color="auto" w:fill="FFFFFF"/>
        <w:tabs>
          <w:tab w:val="clear" w:pos="709"/>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7"/>
        </w:numPr>
        <w:shd w:val="clear" w:color="auto" w:fill="FFFFFF"/>
        <w:tabs>
          <w:tab w:val="clear" w:pos="709"/>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бизнес-планы;</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 xml:space="preserve">сведения о подрядчиках, поставщиках оборудования и материалов, а также </w:t>
        <w:br/>
        <w:t>о покупателях продукции Заказчика и их аффилированных лицах;</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7"/>
        </w:numPr>
        <w:tabs>
          <w:tab w:val="clear" w:pos="709"/>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7"/>
        </w:numPr>
        <w:shd w:val="clear" w:color="auto" w:fill="FFFFFF"/>
        <w:tabs>
          <w:tab w:val="clear" w:pos="709"/>
          <w:tab w:val="left" w:pos="1134" w:leader="none"/>
        </w:tabs>
        <w:ind w:left="0" w:firstLine="709"/>
        <w:jc w:val="both"/>
        <w:rPr>
          <w:bCs/>
        </w:rPr>
      </w:pPr>
      <w:bookmarkStart w:id="41"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41"/>
      <w:r>
        <w:rPr>
          <w:bCs/>
        </w:rPr>
        <w:t xml:space="preserve"> </w:t>
      </w:r>
    </w:p>
    <w:p>
      <w:pPr>
        <w:pStyle w:val="ListParagraph"/>
        <w:numPr>
          <w:ilvl w:val="2"/>
          <w:numId w:val="27"/>
        </w:numPr>
        <w:shd w:val="clear" w:color="auto" w:fill="FFFFFF"/>
        <w:tabs>
          <w:tab w:val="clear" w:pos="709"/>
          <w:tab w:val="left" w:pos="1701" w:leader="none"/>
        </w:tabs>
        <w:ind w:left="0" w:firstLine="709"/>
        <w:jc w:val="both"/>
        <w:rPr>
          <w:bCs/>
        </w:rPr>
      </w:pPr>
      <w:r>
        <w:rPr>
          <w:bCs/>
        </w:rPr>
        <w:t xml:space="preserve">Не разглашать, не обсуждать содержание, не предоставлять копий, </w:t>
        <w:br/>
        <w:t xml:space="preserve">не публиковать и не раскрывать в какой-либо иной форме третьим лицам Информацию </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pPr>
        <w:pStyle w:val="ListParagraph"/>
        <w:numPr>
          <w:ilvl w:val="2"/>
          <w:numId w:val="27"/>
        </w:numPr>
        <w:shd w:val="clear" w:color="auto" w:fill="FFFFFF"/>
        <w:tabs>
          <w:tab w:val="clear" w:pos="709"/>
          <w:tab w:val="left" w:pos="1701" w:leader="none"/>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27"/>
        </w:numPr>
        <w:shd w:val="clear" w:color="auto" w:fill="FFFFFF"/>
        <w:tabs>
          <w:tab w:val="clear" w:pos="709"/>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7"/>
        </w:numPr>
        <w:shd w:val="clear" w:color="auto" w:fill="FFFFFF"/>
        <w:tabs>
          <w:tab w:val="clear" w:pos="709"/>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7"/>
        </w:numPr>
        <w:shd w:val="clear" w:color="auto" w:fill="FFFFFF"/>
        <w:tabs>
          <w:tab w:val="clear" w:pos="709"/>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7"/>
        </w:numPr>
        <w:shd w:val="clear" w:color="auto" w:fill="FFFFFF"/>
        <w:tabs>
          <w:tab w:val="clear" w:pos="709"/>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numPr>
          <w:ilvl w:val="2"/>
          <w:numId w:val="27"/>
        </w:numPr>
        <w:shd w:val="clear" w:color="auto" w:fill="FFFFFF"/>
        <w:tabs>
          <w:tab w:val="clear" w:pos="709"/>
          <w:tab w:val="left" w:pos="1701" w:leader="none"/>
        </w:tabs>
        <w:ind w:left="0" w:firstLine="709"/>
        <w:jc w:val="both"/>
        <w:rPr>
          <w:bCs/>
        </w:rPr>
      </w:pPr>
      <w:bookmarkStart w:id="42" w:name="_Ref361337832"/>
      <w:r>
        <w:rPr>
          <w:bCs/>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42"/>
    </w:p>
    <w:p>
      <w:pPr>
        <w:pStyle w:val="ListParagraph"/>
        <w:numPr>
          <w:ilvl w:val="2"/>
          <w:numId w:val="27"/>
        </w:numPr>
        <w:shd w:val="clear" w:color="auto" w:fill="FFFFFF"/>
        <w:tabs>
          <w:tab w:val="clear" w:pos="709"/>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27"/>
        </w:numPr>
        <w:shd w:val="clear" w:color="auto" w:fill="FFFFFF"/>
        <w:tabs>
          <w:tab w:val="clear" w:pos="709"/>
          <w:tab w:val="left" w:pos="1134" w:leader="none"/>
        </w:tabs>
        <w:ind w:left="0" w:firstLine="709"/>
        <w:jc w:val="both"/>
        <w:rPr>
          <w:bCs/>
        </w:rPr>
      </w:pPr>
      <w:bookmarkStart w:id="43" w:name="_Ref361337863"/>
      <w:r>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bookmarkEnd w:id="43"/>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284" w:leader="none"/>
        </w:tabs>
        <w:ind w:left="0" w:hanging="0"/>
        <w:rPr>
          <w:b/>
          <w:bCs/>
        </w:rPr>
      </w:pPr>
      <w:r>
        <w:rPr>
          <w:b/>
          <w:bCs/>
        </w:rPr>
      </w:r>
    </w:p>
    <w:p>
      <w:pPr>
        <w:pStyle w:val="ListParagraph"/>
        <w:numPr>
          <w:ilvl w:val="0"/>
          <w:numId w:val="27"/>
        </w:numPr>
        <w:shd w:val="clear" w:color="auto" w:fill="FFFFFF"/>
        <w:tabs>
          <w:tab w:val="clear" w:pos="709"/>
          <w:tab w:val="left" w:pos="426" w:leader="none"/>
        </w:tabs>
        <w:ind w:left="0" w:hanging="0"/>
        <w:jc w:val="center"/>
        <w:rPr>
          <w:bCs/>
        </w:rPr>
      </w:pPr>
      <w:r>
        <w:rPr>
          <w:b/>
          <w:bCs/>
        </w:rPr>
        <w:t>Разрешение споров</w:t>
      </w:r>
    </w:p>
    <w:p>
      <w:pPr>
        <w:pStyle w:val="ListParagraph"/>
        <w:numPr>
          <w:ilvl w:val="1"/>
          <w:numId w:val="27"/>
        </w:numPr>
        <w:shd w:val="clear" w:color="auto" w:fill="FFFFFF"/>
        <w:tabs>
          <w:tab w:val="clear" w:pos="709"/>
          <w:tab w:val="left" w:pos="1134" w:leader="none"/>
          <w:tab w:val="left" w:pos="1418" w:leader="none"/>
        </w:tabs>
        <w:ind w:left="0" w:firstLine="709"/>
        <w:jc w:val="both"/>
        <w:rPr>
          <w:bCs/>
        </w:rPr>
      </w:pPr>
      <w:r>
        <w:rPr>
          <w:bCs/>
        </w:rPr>
        <w:t xml:space="preserve">Все споры, разногласия и требования, возникающие между Сторонами </w:t>
        <w:br/>
        <w:t xml:space="preserve">из Договора или в связи с ним, в том числе связанные с его заключением, исполнением, изменением, прекращением (расторжением) и / или </w:t>
      </w:r>
      <w:r>
        <w:rPr>
          <w:bCs/>
          <w:shd w:fill="auto" w:val="clear"/>
        </w:rPr>
        <w:t>действительностью, разрешаются путем переговоров.</w:t>
      </w:r>
    </w:p>
    <w:p>
      <w:pPr>
        <w:pStyle w:val="ListParagraph"/>
        <w:numPr>
          <w:ilvl w:val="1"/>
          <w:numId w:val="27"/>
        </w:numPr>
        <w:shd w:val="clear" w:color="auto" w:fill="FFFFFF"/>
        <w:tabs>
          <w:tab w:val="clear" w:pos="709"/>
          <w:tab w:val="left" w:pos="1134" w:leader="none"/>
          <w:tab w:val="left" w:pos="1418" w:leader="none"/>
        </w:tabs>
        <w:ind w:left="0" w:firstLine="709"/>
        <w:jc w:val="both"/>
        <w:rPr>
          <w:highlight w:val="none"/>
          <w:shd w:fill="auto" w:val="clear"/>
        </w:rPr>
      </w:pPr>
      <w:r>
        <w:rPr>
          <w:bCs/>
          <w:shd w:fill="auto" w:val="clear"/>
        </w:rPr>
        <w:t>Споры, указанные в пункте 12.1 Договора, которые не были урегулированы Сторонами путем переговоров, подлежат разрешению в Арбитражном суде г. Москвы в соответствии с законодательством Российской Федерации, за исключением споров из Банковской гарантии, подсудность которых предусмотрена пунктом 7.1.10 Договора.</w:t>
      </w:r>
    </w:p>
    <w:p>
      <w:pPr>
        <w:pStyle w:val="ListParagraph"/>
        <w:numPr>
          <w:ilvl w:val="1"/>
          <w:numId w:val="27"/>
        </w:numPr>
        <w:shd w:val="clear" w:color="auto" w:fill="FFFFFF"/>
        <w:tabs>
          <w:tab w:val="clear" w:pos="709"/>
          <w:tab w:val="left" w:pos="1134" w:leader="none"/>
          <w:tab w:val="left" w:pos="1418" w:leader="none"/>
        </w:tabs>
        <w:ind w:left="0" w:firstLine="709"/>
        <w:jc w:val="both"/>
        <w:rPr>
          <w:bCs/>
        </w:rPr>
      </w:pPr>
      <w:r>
        <w:rPr>
          <w:bCs/>
          <w:shd w:fill="auto" w:val="clea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18.8 Дого</w:t>
      </w:r>
      <w:r>
        <w:rPr>
          <w:bCs/>
        </w:rPr>
        <w:t>вора.</w:t>
      </w:r>
    </w:p>
    <w:p>
      <w:pPr>
        <w:pStyle w:val="ListParagraph"/>
        <w:numPr>
          <w:ilvl w:val="1"/>
          <w:numId w:val="27"/>
        </w:numPr>
        <w:shd w:val="clear" w:color="auto" w:fill="FFFFFF"/>
        <w:tabs>
          <w:tab w:val="clear" w:pos="709"/>
          <w:tab w:val="left" w:pos="1134" w:leader="none"/>
          <w:tab w:val="left" w:pos="1418" w:leader="none"/>
        </w:tabs>
        <w:ind w:left="0" w:firstLine="709"/>
        <w:jc w:val="both"/>
        <w:rPr>
          <w:bCs/>
        </w:rPr>
      </w:pPr>
      <w:r>
        <w:rPr>
          <w:bCs/>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numPr>
          <w:ilvl w:val="1"/>
          <w:numId w:val="27"/>
        </w:numPr>
        <w:shd w:val="clear" w:color="auto" w:fill="FFFFFF"/>
        <w:tabs>
          <w:tab w:val="clear" w:pos="709"/>
          <w:tab w:val="left" w:pos="1134" w:leader="none"/>
          <w:tab w:val="left" w:pos="1418" w:leader="none"/>
        </w:tabs>
        <w:ind w:left="0" w:firstLine="709"/>
        <w:jc w:val="both"/>
        <w:rPr>
          <w:bCs/>
        </w:rPr>
      </w:pPr>
      <w:r>
        <w:rPr>
          <w:bCs/>
        </w:rPr>
        <w:t>Условия настоящего раздела Договора сохраняют свою силу в случае признания Договора незаключенным и / или недействительным.</w:t>
      </w:r>
    </w:p>
    <w:p>
      <w:pPr>
        <w:pStyle w:val="Normal"/>
        <w:shd w:val="clear" w:color="auto" w:fill="FFFFFF"/>
        <w:tabs>
          <w:tab w:val="clear" w:pos="709"/>
          <w:tab w:val="left" w:pos="1134" w:leader="none"/>
          <w:tab w:val="left" w:pos="1418" w:leader="none"/>
        </w:tabs>
        <w:rPr>
          <w:bCs/>
        </w:rPr>
      </w:pPr>
      <w:r>
        <w:rPr>
          <w:bCs/>
        </w:rPr>
      </w:r>
    </w:p>
    <w:p>
      <w:pPr>
        <w:pStyle w:val="ListParagraph"/>
        <w:numPr>
          <w:ilvl w:val="0"/>
          <w:numId w:val="27"/>
        </w:numPr>
        <w:shd w:val="clear" w:color="auto" w:fill="FFFFFF"/>
        <w:tabs>
          <w:tab w:val="clear" w:pos="709"/>
          <w:tab w:val="left" w:pos="426" w:leader="none"/>
        </w:tabs>
        <w:ind w:left="0" w:hanging="0"/>
        <w:jc w:val="center"/>
        <w:rPr>
          <w:b/>
          <w:bCs/>
        </w:rPr>
      </w:pPr>
      <w:r>
        <w:rPr>
          <w:b/>
          <w:bCs/>
        </w:rPr>
        <w:t>Антикоррупционная оговорка</w:t>
      </w:r>
    </w:p>
    <w:p>
      <w:pPr>
        <w:pStyle w:val="ListParagraph"/>
        <w:numPr>
          <w:ilvl w:val="1"/>
          <w:numId w:val="27"/>
        </w:numPr>
        <w:shd w:val="clear" w:color="auto" w:fill="FFFFFF"/>
        <w:tabs>
          <w:tab w:val="clear" w:pos="709"/>
          <w:tab w:val="left" w:pos="1134"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7"/>
        </w:numPr>
        <w:shd w:val="clear" w:color="auto" w:fill="FFFFFF"/>
        <w:tabs>
          <w:tab w:val="clear" w:pos="709"/>
          <w:tab w:val="left" w:pos="1134"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7"/>
        </w:numPr>
        <w:shd w:val="clear" w:color="auto" w:fill="FFFFFF"/>
        <w:tabs>
          <w:tab w:val="clear" w:pos="709"/>
          <w:tab w:val="left" w:pos="1134"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7"/>
        </w:numPr>
        <w:shd w:val="clear" w:color="auto" w:fill="FFFFFF"/>
        <w:tabs>
          <w:tab w:val="clear" w:pos="709"/>
          <w:tab w:val="left" w:pos="1134"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7"/>
        </w:numPr>
        <w:shd w:val="clear" w:color="auto" w:fill="FFFFFF"/>
        <w:tabs>
          <w:tab w:val="clear" w:pos="709"/>
          <w:tab w:val="left" w:pos="1134"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7"/>
        </w:numPr>
        <w:shd w:val="clear" w:color="auto" w:fill="FFFFFF"/>
        <w:tabs>
          <w:tab w:val="clear" w:pos="709"/>
          <w:tab w:val="left" w:pos="1134"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7"/>
        </w:numPr>
        <w:shd w:val="clear" w:color="auto" w:fill="FFFFFF"/>
        <w:tabs>
          <w:tab w:val="clear" w:pos="709"/>
          <w:tab w:val="left" w:pos="567" w:leader="none"/>
          <w:tab w:val="left" w:pos="1134" w:leader="none"/>
        </w:tabs>
        <w:ind w:left="0" w:firstLine="709"/>
        <w:jc w:val="both"/>
        <w:rPr>
          <w:color w:val="000000"/>
        </w:rPr>
      </w:pPr>
      <w:r>
        <w:rPr>
          <w:color w:val="000000"/>
        </w:rPr>
        <w:t xml:space="preserve">Каналы связи Линия доверия Группы РусГидро: </w:t>
      </w:r>
    </w:p>
    <w:p>
      <w:pPr>
        <w:pStyle w:val="ListParagraph"/>
        <w:widowControl w:val="false"/>
        <w:numPr>
          <w:ilvl w:val="2"/>
          <w:numId w:val="27"/>
        </w:numPr>
        <w:shd w:val="clear" w:color="auto" w:fill="FFFFFF"/>
        <w:tabs>
          <w:tab w:val="clear" w:pos="709"/>
          <w:tab w:val="left" w:pos="567" w:leader="none"/>
          <w:tab w:val="left" w:pos="1134" w:leader="none"/>
        </w:tabs>
        <w:ind w:left="0" w:firstLine="709"/>
        <w:jc w:val="both"/>
        <w:rPr/>
      </w:pPr>
      <w:r>
        <w:rPr/>
        <w:t>Электронная почта: ld@rushydro.ru.</w:t>
      </w:r>
    </w:p>
    <w:p>
      <w:pPr>
        <w:pStyle w:val="ListParagraph"/>
        <w:widowControl w:val="false"/>
        <w:numPr>
          <w:ilvl w:val="2"/>
          <w:numId w:val="27"/>
        </w:numPr>
        <w:shd w:val="clear" w:color="auto" w:fill="FFFFFF"/>
        <w:tabs>
          <w:tab w:val="clear" w:pos="709"/>
          <w:tab w:val="left" w:pos="567" w:leader="none"/>
          <w:tab w:val="left" w:pos="1134" w:leader="none"/>
        </w:tabs>
        <w:ind w:left="0" w:firstLine="709"/>
        <w:jc w:val="both"/>
        <w:rPr/>
      </w:pPr>
      <w:r>
        <w:rPr/>
        <w:t xml:space="preserve">Специальная форма «обратной связи», размещенная на официальном сайте </w:t>
        <w:br/>
        <w:t>ПАО «РусГидро»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27"/>
        </w:numPr>
        <w:tabs>
          <w:tab w:val="clear" w:pos="709"/>
          <w:tab w:val="left" w:pos="1134" w:leader="none"/>
        </w:tabs>
        <w:ind w:left="0" w:firstLine="709"/>
        <w:jc w:val="both"/>
        <w:rPr/>
      </w:pPr>
      <w: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spacing w:lineRule="auto" w:line="240"/>
        <w:ind w:hanging="0"/>
        <w:rPr>
          <w:b/>
          <w:sz w:val="24"/>
          <w:szCs w:val="24"/>
        </w:rPr>
      </w:pPr>
      <w:r>
        <w:rPr>
          <w:b/>
          <w:sz w:val="24"/>
          <w:szCs w:val="24"/>
        </w:rPr>
      </w:r>
    </w:p>
    <w:p>
      <w:pPr>
        <w:pStyle w:val="ListParagraph"/>
        <w:numPr>
          <w:ilvl w:val="0"/>
          <w:numId w:val="27"/>
        </w:numPr>
        <w:shd w:val="clear" w:color="auto" w:fill="FFFFFF"/>
        <w:tabs>
          <w:tab w:val="clear" w:pos="709"/>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27"/>
        </w:numPr>
        <w:shd w:val="clear" w:color="auto" w:fill="FFFFFF"/>
        <w:tabs>
          <w:tab w:val="clear" w:pos="709"/>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7"/>
        </w:numPr>
        <w:shd w:val="clear" w:color="auto" w:fill="FFFFFF"/>
        <w:tabs>
          <w:tab w:val="clear" w:pos="709"/>
          <w:tab w:val="left" w:pos="1134" w:leader="none"/>
        </w:tabs>
        <w:ind w:left="0" w:firstLine="709"/>
        <w:jc w:val="both"/>
        <w:rPr>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7"/>
        </w:numPr>
        <w:shd w:val="clear" w:color="auto" w:fill="FFFFFF"/>
        <w:tabs>
          <w:tab w:val="clear" w:pos="709"/>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7"/>
        </w:numPr>
        <w:shd w:val="clear" w:color="auto" w:fill="FFFFFF"/>
        <w:tabs>
          <w:tab w:val="clear" w:pos="709"/>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bCs/>
        </w:rPr>
      </w:pPr>
      <w:r>
        <w:rPr>
          <w:bCs/>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27"/>
        </w:numPr>
        <w:shd w:val="clear" w:color="auto" w:fill="FFFFFF"/>
        <w:tabs>
          <w:tab w:val="clear" w:pos="709"/>
          <w:tab w:val="left" w:pos="426" w:leader="none"/>
        </w:tabs>
        <w:ind w:left="0" w:hanging="0"/>
        <w:jc w:val="center"/>
        <w:rPr>
          <w:b/>
          <w:bCs/>
        </w:rPr>
      </w:pPr>
      <w:r>
        <w:rPr>
          <w:b/>
          <w:bCs/>
        </w:rPr>
        <w:t>Особые положения</w:t>
      </w:r>
    </w:p>
    <w:p>
      <w:pPr>
        <w:pStyle w:val="ListParagraph"/>
        <w:numPr>
          <w:ilvl w:val="1"/>
          <w:numId w:val="27"/>
        </w:numPr>
        <w:shd w:val="clear" w:color="auto" w:fill="FFFFFF"/>
        <w:tabs>
          <w:tab w:val="clear" w:pos="709"/>
          <w:tab w:val="left" w:pos="1134" w:leader="none"/>
        </w:tabs>
        <w:ind w:left="0" w:firstLine="709"/>
        <w:jc w:val="both"/>
        <w:rPr>
          <w:bCs/>
        </w:rPr>
      </w:pPr>
      <w:bookmarkStart w:id="44"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6"/>
        </w:numPr>
        <w:shd w:val="clear" w:color="auto" w:fill="FFFFFF"/>
        <w:tabs>
          <w:tab w:val="clear" w:pos="709"/>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w:t>
        <w:br/>
        <w:t xml:space="preserve">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pPr>
        <w:pStyle w:val="ListParagraph"/>
        <w:shd w:val="clear" w:color="auto" w:fill="FFFFFF"/>
        <w:tabs>
          <w:tab w:val="clear" w:pos="709"/>
          <w:tab w:val="left" w:pos="1134" w:leader="none"/>
        </w:tabs>
        <w:ind w:left="709" w:hanging="0"/>
        <w:jc w:val="both"/>
        <w:rPr>
          <w:bCs/>
        </w:rPr>
      </w:pPr>
      <w:r>
        <w:rPr>
          <w:bCs/>
        </w:rPr>
        <w:t xml:space="preserve">и / или </w:t>
      </w:r>
    </w:p>
    <w:p>
      <w:pPr>
        <w:pStyle w:val="ListParagraph"/>
        <w:numPr>
          <w:ilvl w:val="1"/>
          <w:numId w:val="16"/>
        </w:numPr>
        <w:shd w:val="clear" w:color="auto" w:fill="FFFFFF"/>
        <w:tabs>
          <w:tab w:val="clear" w:pos="709"/>
          <w:tab w:val="left" w:pos="1134" w:leader="none"/>
        </w:tabs>
        <w:ind w:left="0" w:firstLine="709"/>
        <w:jc w:val="both"/>
        <w:rPr>
          <w:bCs/>
        </w:rPr>
      </w:pPr>
      <w:r>
        <w:rPr>
          <w:bCs/>
        </w:rPr>
        <w:t xml:space="preserve">соответствующие </w:t>
      </w:r>
      <w:hyperlink r:id="rId4">
        <w:r>
          <w:rPr>
            <w:bCs/>
          </w:rPr>
          <w:t>Критери</w:t>
        </w:r>
      </w:hyperlink>
      <w:r>
        <w:rPr>
          <w:bCs/>
        </w:rPr>
        <w:t xml:space="preserve">ям самостоятельной оценки рисков </w:t>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4"/>
    </w:p>
    <w:p>
      <w:pPr>
        <w:pStyle w:val="ListParagraph"/>
        <w:numPr>
          <w:ilvl w:val="1"/>
          <w:numId w:val="27"/>
        </w:numPr>
        <w:shd w:val="clear" w:color="auto" w:fill="FFFFFF"/>
        <w:tabs>
          <w:tab w:val="clear" w:pos="709"/>
          <w:tab w:val="left" w:pos="1134" w:leader="none"/>
        </w:tabs>
        <w:ind w:left="0" w:firstLine="709"/>
        <w:jc w:val="both"/>
        <w:rPr>
          <w:bCs/>
        </w:rPr>
      </w:pPr>
      <w:bookmarkStart w:id="45" w:name="_Ref361337921"/>
      <w:r>
        <w:rPr>
          <w:bCs/>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Субподрядчиков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5"/>
    </w:p>
    <w:p>
      <w:pPr>
        <w:pStyle w:val="ListParagraph"/>
        <w:numPr>
          <w:ilvl w:val="1"/>
          <w:numId w:val="27"/>
        </w:numPr>
        <w:shd w:val="clear" w:color="auto" w:fill="FFFFFF"/>
        <w:tabs>
          <w:tab w:val="clear" w:pos="709"/>
          <w:tab w:val="left" w:pos="1134" w:leader="none"/>
        </w:tabs>
        <w:ind w:left="0" w:firstLine="709"/>
        <w:jc w:val="both"/>
        <w:rPr>
          <w:bCs/>
        </w:rPr>
      </w:pPr>
      <w:bookmarkStart w:id="46" w:name="_Ref361337948"/>
      <w:r>
        <w:rPr>
          <w:bCs/>
        </w:rPr>
        <w:t xml:space="preserve">В случае нарушения Подрядчиком обязательств, установленных пунктами 15.1, 15.2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6"/>
    </w:p>
    <w:p>
      <w:pPr>
        <w:pStyle w:val="ListParagraph"/>
        <w:numPr>
          <w:ilvl w:val="1"/>
          <w:numId w:val="27"/>
        </w:numPr>
        <w:shd w:val="clear" w:color="auto" w:fill="FFFFFF"/>
        <w:tabs>
          <w:tab w:val="clear" w:pos="709"/>
          <w:tab w:val="left" w:pos="1134" w:leader="none"/>
        </w:tabs>
        <w:ind w:left="0" w:firstLine="709"/>
        <w:jc w:val="both"/>
        <w:rPr>
          <w:bCs/>
        </w:rPr>
      </w:pPr>
      <w:bookmarkStart w:id="47"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47"/>
    </w:p>
    <w:p>
      <w:pPr>
        <w:pStyle w:val="ListParagraph"/>
        <w:numPr>
          <w:ilvl w:val="1"/>
          <w:numId w:val="27"/>
        </w:numPr>
        <w:shd w:val="clear" w:color="auto" w:fill="FFFFFF"/>
        <w:tabs>
          <w:tab w:val="clear" w:pos="709"/>
          <w:tab w:val="left" w:pos="1134" w:leader="none"/>
        </w:tabs>
        <w:ind w:left="0" w:firstLine="709"/>
        <w:jc w:val="both"/>
        <w:rPr>
          <w:bCs/>
        </w:rPr>
      </w:pPr>
      <w:bookmarkStart w:id="48" w:name="_Ref373243071"/>
      <w:r>
        <w:rPr>
          <w:bCs/>
        </w:rPr>
        <w:t xml:space="preserve">Штраф, предусмотренный пунктом </w:t>
      </w:r>
      <w:r>
        <w:rPr>
          <w:bCs/>
        </w:rPr>
        <w:fldChar w:fldCharType="begin"/>
      </w:r>
      <w:r>
        <w:rPr>
          <w:bCs/>
        </w:rPr>
        <w:instrText xml:space="preserve"> REF _Ref361337980 \r \h </w:instrText>
      </w:r>
      <w:r>
        <w:rPr>
          <w:bCs/>
        </w:rPr>
        <w:fldChar w:fldCharType="separate"/>
      </w:r>
      <w:r>
        <w:rPr>
          <w:bCs/>
        </w:rPr>
        <w:t>15.4</w:t>
      </w:r>
      <w:r>
        <w:rPr>
          <w:bCs/>
        </w:rPr>
        <w:fldChar w:fldCharType="end"/>
      </w:r>
      <w:r>
        <w:rPr>
          <w:bCs/>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зависимости от направления уведомления об отказе от Договора (исполнения Договора), предусмотренного пунктом 15.3 Договора.</w:t>
      </w:r>
      <w:bookmarkEnd w:id="48"/>
    </w:p>
    <w:p>
      <w:pPr>
        <w:pStyle w:val="ListParagraph"/>
        <w:numPr>
          <w:ilvl w:val="1"/>
          <w:numId w:val="27"/>
        </w:numPr>
        <w:shd w:val="clear" w:color="auto" w:fill="FFFFFF"/>
        <w:tabs>
          <w:tab w:val="clear" w:pos="709"/>
          <w:tab w:val="left" w:pos="1134" w:leader="none"/>
        </w:tabs>
        <w:ind w:left="0" w:firstLine="709"/>
        <w:jc w:val="both"/>
        <w:rPr>
          <w:bCs/>
        </w:rPr>
      </w:pPr>
      <w:bookmarkStart w:id="49" w:name="_Ref361337992"/>
      <w:r>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15.4. Договора. </w:t>
        <w:br/>
        <w:t>При этом Заказчик не будет считаться просрочившим и / или нарушившим свои обязательства по Договору.</w:t>
      </w:r>
      <w:bookmarkEnd w:id="49"/>
    </w:p>
    <w:p>
      <w:pPr>
        <w:pStyle w:val="ListParagraph"/>
        <w:numPr>
          <w:ilvl w:val="1"/>
          <w:numId w:val="27"/>
        </w:numPr>
        <w:shd w:val="clear" w:color="auto" w:fill="FFFFFF"/>
        <w:tabs>
          <w:tab w:val="clear" w:pos="709"/>
          <w:tab w:val="left" w:pos="1134" w:leader="none"/>
        </w:tabs>
        <w:ind w:left="0" w:firstLine="709"/>
        <w:jc w:val="both"/>
        <w:rPr>
          <w:bCs/>
        </w:rPr>
      </w:pPr>
      <w:r>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9"/>
          <w:tab w:val="left" w:pos="567" w:leader="none"/>
        </w:tabs>
        <w:ind w:left="0" w:hanging="0"/>
        <w:jc w:val="both"/>
        <w:rPr>
          <w:bCs/>
        </w:rPr>
      </w:pPr>
      <w:r>
        <w:rPr>
          <w:bCs/>
        </w:rPr>
      </w:r>
    </w:p>
    <w:p>
      <w:pPr>
        <w:pStyle w:val="ListParagraph"/>
        <w:numPr>
          <w:ilvl w:val="0"/>
          <w:numId w:val="27"/>
        </w:numPr>
        <w:shd w:val="clear" w:color="auto" w:fill="FFFFFF"/>
        <w:tabs>
          <w:tab w:val="clear" w:pos="709"/>
          <w:tab w:val="left" w:pos="426" w:leader="none"/>
        </w:tabs>
        <w:ind w:left="0" w:hanging="0"/>
        <w:jc w:val="center"/>
        <w:rPr>
          <w:b/>
        </w:rPr>
      </w:pPr>
      <w:r>
        <w:rPr>
          <w:b/>
          <w:bCs/>
        </w:rPr>
        <w:t>Заверения</w:t>
      </w:r>
      <w:r>
        <w:rPr>
          <w:b/>
        </w:rPr>
        <w:t xml:space="preserve"> Сторон</w:t>
      </w:r>
    </w:p>
    <w:p>
      <w:pPr>
        <w:pStyle w:val="ListParagraph"/>
        <w:numPr>
          <w:ilvl w:val="1"/>
          <w:numId w:val="27"/>
        </w:numPr>
        <w:shd w:val="clear" w:color="auto" w:fill="FFFFFF"/>
        <w:tabs>
          <w:tab w:val="clear" w:pos="709"/>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3"/>
        </w:numPr>
        <w:shd w:val="clear" w:color="auto" w:fill="FFFFFF"/>
        <w:tabs>
          <w:tab w:val="left" w:pos="709" w:leader="none"/>
          <w:tab w:val="left" w:pos="1418" w:leader="none"/>
        </w:tabs>
        <w:ind w:left="0" w:firstLine="709"/>
        <w:jc w:val="both"/>
        <w:rPr/>
      </w:pPr>
      <w: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13"/>
        </w:numPr>
        <w:shd w:val="clear" w:color="auto" w:fill="FFFFFF"/>
        <w:tabs>
          <w:tab w:val="left" w:pos="709" w:leader="none"/>
          <w:tab w:val="left" w:pos="1418" w:leader="none"/>
        </w:tabs>
        <w:ind w:left="0" w:firstLine="709"/>
        <w:jc w:val="both"/>
        <w:rPr/>
      </w:pPr>
      <w: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13"/>
        </w:numPr>
        <w:shd w:val="clear" w:color="auto" w:fill="FFFFFF"/>
        <w:tabs>
          <w:tab w:val="left" w:pos="709" w:leader="none"/>
          <w:tab w:val="left" w:pos="1418" w:leader="none"/>
        </w:tabs>
        <w:ind w:left="0" w:firstLine="709"/>
        <w:jc w:val="both"/>
        <w:rPr/>
      </w:pPr>
      <w: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13"/>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3"/>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w:t>
        <w:br/>
        <w:t xml:space="preserve">для своевременного и надлежащего исполнения обязательств, возникающих из Договора </w:t>
        <w:br/>
        <w:t xml:space="preserve">или в связи с ним. </w:t>
      </w:r>
    </w:p>
    <w:p>
      <w:pPr>
        <w:pStyle w:val="ListParagraph"/>
        <w:numPr>
          <w:ilvl w:val="1"/>
          <w:numId w:val="27"/>
        </w:numPr>
        <w:shd w:val="clear" w:color="auto" w:fill="FFFFFF"/>
        <w:tabs>
          <w:tab w:val="clear" w:pos="709"/>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5"/>
        </w:numPr>
        <w:shd w:val="clear" w:color="auto" w:fill="FFFFFF"/>
        <w:tabs>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5"/>
        </w:numPr>
        <w:shd w:val="clear" w:color="auto" w:fill="FFFFFF"/>
        <w:tabs>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5"/>
        </w:numPr>
        <w:shd w:val="clear" w:color="auto" w:fill="FFFFFF"/>
        <w:tabs>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5"/>
        </w:numPr>
        <w:shd w:val="clear" w:color="auto" w:fill="FFFFFF"/>
        <w:tabs>
          <w:tab w:val="left" w:pos="709" w:leader="none"/>
          <w:tab w:val="left" w:pos="1418" w:leader="none"/>
        </w:tabs>
        <w:ind w:left="0" w:firstLine="709"/>
        <w:jc w:val="both"/>
        <w:rPr/>
      </w:pPr>
      <w: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14"/>
        </w:numPr>
        <w:shd w:val="clear" w:color="auto" w:fill="FFFFFF"/>
        <w:tabs>
          <w:tab w:val="clear" w:pos="709"/>
          <w:tab w:val="left" w:pos="567" w:leader="none"/>
          <w:tab w:val="left" w:pos="1418" w:leader="none"/>
        </w:tabs>
        <w:ind w:left="0" w:firstLine="709"/>
        <w:jc w:val="both"/>
        <w:rPr/>
      </w:pPr>
      <w: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pPr>
        <w:pStyle w:val="ListParagraph"/>
        <w:numPr>
          <w:ilvl w:val="0"/>
          <w:numId w:val="14"/>
        </w:numPr>
        <w:shd w:val="clear" w:color="auto" w:fill="FFFFFF"/>
        <w:tabs>
          <w:tab w:val="clear" w:pos="709"/>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r>
        <w:rPr>
          <w:rStyle w:val="FootnoteReference"/>
        </w:rPr>
        <w:footnoteReference w:id="17"/>
      </w:r>
      <w:r>
        <w:rPr/>
        <w:t>;</w:t>
      </w:r>
    </w:p>
    <w:p>
      <w:pPr>
        <w:pStyle w:val="ListParagraph"/>
        <w:numPr>
          <w:ilvl w:val="0"/>
          <w:numId w:val="14"/>
        </w:numPr>
        <w:shd w:val="clear" w:color="auto" w:fill="FFFFFF"/>
        <w:tabs>
          <w:tab w:val="clear" w:pos="709"/>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FootnoteReference"/>
        </w:rPr>
        <w:footnoteReference w:id="18"/>
      </w:r>
      <w:r>
        <w:rPr/>
        <w:t>;</w:t>
      </w:r>
    </w:p>
    <w:p>
      <w:pPr>
        <w:pStyle w:val="ListParagraph"/>
        <w:numPr>
          <w:ilvl w:val="0"/>
          <w:numId w:val="14"/>
        </w:numPr>
        <w:shd w:val="clear" w:color="auto" w:fill="FFFFFF"/>
        <w:tabs>
          <w:tab w:val="clear" w:pos="709"/>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4"/>
        </w:numPr>
        <w:shd w:val="clear" w:color="auto" w:fill="FFFFFF"/>
        <w:tabs>
          <w:tab w:val="clear" w:pos="709"/>
          <w:tab w:val="left" w:pos="567" w:leader="none"/>
          <w:tab w:val="left" w:pos="1418" w:leader="none"/>
        </w:tabs>
        <w:ind w:left="0" w:firstLine="709"/>
        <w:jc w:val="both"/>
        <w:rPr/>
      </w:pPr>
      <w:r>
        <w:rPr/>
        <w:t xml:space="preserve">Подрядчик тщательно изучил всю информацию, связанную с Договором, </w:t>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br/>
        <w:t>и трудности исполнения обязательств, возникающих из Договора или в связи с ним;</w:t>
      </w:r>
    </w:p>
    <w:p>
      <w:pPr>
        <w:pStyle w:val="ListParagraph"/>
        <w:numPr>
          <w:ilvl w:val="0"/>
          <w:numId w:val="14"/>
        </w:numPr>
        <w:shd w:val="clear" w:color="auto" w:fill="FFFFFF"/>
        <w:tabs>
          <w:tab w:val="clear" w:pos="709"/>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4"/>
        </w:numPr>
        <w:shd w:val="clear" w:color="auto" w:fill="FFFFFF"/>
        <w:tabs>
          <w:tab w:val="clear" w:pos="709"/>
          <w:tab w:val="left" w:pos="567" w:leader="none"/>
          <w:tab w:val="left" w:pos="1418" w:leader="none"/>
        </w:tabs>
        <w:ind w:left="0" w:firstLine="709"/>
        <w:jc w:val="both"/>
        <w:rPr/>
      </w:pPr>
      <w:r>
        <w:rPr/>
        <w:t xml:space="preserve">Подрядчик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4"/>
        </w:numPr>
        <w:shd w:val="clear" w:color="auto" w:fill="FFFFFF"/>
        <w:tabs>
          <w:tab w:val="clear" w:pos="709"/>
          <w:tab w:val="left" w:pos="567" w:leader="none"/>
          <w:tab w:val="left" w:pos="1418" w:leader="none"/>
        </w:tabs>
        <w:ind w:left="0" w:firstLine="709"/>
        <w:jc w:val="both"/>
        <w:rPr/>
      </w:pPr>
      <w:r>
        <w:rPr/>
        <w:t xml:space="preserve">вся информация, предоставленная Заказчику, является достоверной, полной </w:t>
        <w:br/>
        <w:t xml:space="preserve">и точной, и Подрядчик не скрыл никаких обстоятельств, которые при их обнаружении могли </w:t>
        <w:br/>
        <w:t>бы негативно повлиять на решение Заказчика заключить Договор на указанных в нем условиях.</w:t>
      </w:r>
    </w:p>
    <w:p>
      <w:pPr>
        <w:pStyle w:val="Normal"/>
        <w:numPr>
          <w:ilvl w:val="1"/>
          <w:numId w:val="27"/>
        </w:numPr>
        <w:spacing w:lineRule="auto" w:line="240"/>
        <w:ind w:left="0" w:firstLine="709"/>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27"/>
        </w:numPr>
        <w:shd w:val="clear" w:color="auto" w:fill="FFFFFF"/>
        <w:tabs>
          <w:tab w:val="clear" w:pos="709"/>
          <w:tab w:val="left" w:pos="1134" w:leader="none"/>
          <w:tab w:val="left" w:pos="1418" w:leader="none"/>
        </w:tabs>
        <w:ind w:left="0" w:firstLine="709"/>
        <w:jc w:val="both"/>
        <w:rPr/>
      </w:pPr>
      <w:r>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Pr>
          <w:bCs/>
        </w:rPr>
        <w:t xml:space="preserve"> </w:t>
      </w:r>
      <w:r>
        <w:rPr/>
        <w:t xml:space="preserve">обязан </w:t>
        <w:br/>
        <w:t>по письменному требованию Заказчика уплатить последнему штраф в размере 5 (пяти) процентов от Цены Договора, указанной в пункте 4.1 Договора.</w:t>
      </w:r>
    </w:p>
    <w:p>
      <w:pPr>
        <w:pStyle w:val="ListParagraph"/>
        <w:numPr>
          <w:ilvl w:val="1"/>
          <w:numId w:val="27"/>
        </w:numPr>
        <w:shd w:val="clear" w:color="auto" w:fill="FFFFFF"/>
        <w:tabs>
          <w:tab w:val="clear" w:pos="709"/>
          <w:tab w:val="left" w:pos="1134" w:leader="none"/>
          <w:tab w:val="left" w:pos="1418" w:leader="none"/>
        </w:tabs>
        <w:ind w:left="0" w:firstLine="709"/>
        <w:jc w:val="both"/>
        <w:rPr/>
      </w:pPr>
      <w: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0" w:hanging="0"/>
        <w:jc w:val="both"/>
        <w:rPr/>
      </w:pPr>
      <w:r>
        <w:rPr/>
      </w:r>
    </w:p>
    <w:p>
      <w:pPr>
        <w:pStyle w:val="ListParagraph"/>
        <w:numPr>
          <w:ilvl w:val="0"/>
          <w:numId w:val="27"/>
        </w:numPr>
        <w:shd w:val="clear" w:color="auto" w:fill="FFFFFF"/>
        <w:tabs>
          <w:tab w:val="clear" w:pos="709"/>
          <w:tab w:val="left" w:pos="426" w:leader="none"/>
        </w:tabs>
        <w:ind w:left="0" w:hanging="0"/>
        <w:jc w:val="center"/>
        <w:rPr>
          <w:b/>
        </w:rPr>
      </w:pPr>
      <w:r>
        <w:rPr>
          <w:b/>
          <w:bCs/>
        </w:rPr>
        <w:t>П</w:t>
      </w:r>
      <w:r>
        <w:rPr>
          <w:b/>
        </w:rPr>
        <w:t>рекращение (расторжение) Договора</w:t>
      </w:r>
    </w:p>
    <w:p>
      <w:pPr>
        <w:pStyle w:val="ListParagraph"/>
        <w:numPr>
          <w:ilvl w:val="1"/>
          <w:numId w:val="27"/>
        </w:numPr>
        <w:shd w:val="clear" w:color="auto" w:fill="FFFFFF"/>
        <w:tabs>
          <w:tab w:val="clear" w:pos="709"/>
          <w:tab w:val="left" w:pos="1134" w:leader="none"/>
        </w:tabs>
        <w:ind w:left="0" w:firstLine="709"/>
        <w:jc w:val="both"/>
        <w:rPr/>
      </w:pPr>
      <w:r>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Pr>
          <w:shd w:fill="auto" w:val="clear"/>
        </w:rPr>
        <w:t>18.8</w:t>
      </w:r>
      <w:r>
        <w:rPr/>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7"/>
        </w:numPr>
        <w:shd w:val="clear" w:color="auto" w:fill="FFFFFF"/>
        <w:tabs>
          <w:tab w:val="clear" w:pos="709"/>
          <w:tab w:val="left" w:pos="1134" w:leader="none"/>
        </w:tabs>
        <w:ind w:left="0" w:firstLine="709"/>
        <w:jc w:val="both"/>
        <w:rPr/>
      </w:pPr>
      <w:r>
        <w:rPr/>
        <w:t xml:space="preserve">Заказчик вправе в любое время до сдачи ему Результата Работ </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9"/>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7"/>
        </w:numPr>
        <w:shd w:val="clear" w:color="auto" w:fill="FFFFFF"/>
        <w:tabs>
          <w:tab w:val="clear" w:pos="709"/>
          <w:tab w:val="left" w:pos="1134" w:leader="none"/>
        </w:tabs>
        <w:ind w:left="0" w:firstLine="709"/>
        <w:jc w:val="both"/>
        <w:rPr/>
      </w:pPr>
      <w: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9"/>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pPr>
        <w:pStyle w:val="ListParagraph"/>
        <w:numPr>
          <w:ilvl w:val="1"/>
          <w:numId w:val="27"/>
        </w:numPr>
        <w:shd w:val="clear" w:color="auto" w:fill="FFFFFF"/>
        <w:tabs>
          <w:tab w:val="clear" w:pos="709"/>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12"/>
        </w:numPr>
        <w:tabs>
          <w:tab w:val="clear" w:pos="709"/>
          <w:tab w:val="left" w:pos="1134" w:leader="none"/>
        </w:tabs>
        <w:ind w:left="0" w:firstLine="709"/>
        <w:jc w:val="both"/>
        <w:rPr/>
      </w:pPr>
      <w:r>
        <w:rPr/>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br/>
        <w:t>по причинам, не зависящим от Заказчика;</w:t>
      </w:r>
    </w:p>
    <w:p>
      <w:pPr>
        <w:pStyle w:val="ListParagraph"/>
        <w:numPr>
          <w:ilvl w:val="0"/>
          <w:numId w:val="12"/>
        </w:numPr>
        <w:tabs>
          <w:tab w:val="clear" w:pos="709"/>
          <w:tab w:val="left" w:pos="1134" w:leader="none"/>
        </w:tabs>
        <w:ind w:left="0" w:firstLine="709"/>
        <w:jc w:val="both"/>
        <w:rPr/>
      </w:pPr>
      <w:r>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12"/>
        </w:numPr>
        <w:tabs>
          <w:tab w:val="clear" w:pos="709"/>
          <w:tab w:val="left" w:pos="1134" w:leader="none"/>
        </w:tabs>
        <w:ind w:left="0" w:firstLine="709"/>
        <w:jc w:val="both"/>
        <w:rPr/>
      </w:pPr>
      <w:r>
        <w:rPr/>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2"/>
        </w:numPr>
        <w:tabs>
          <w:tab w:val="clear" w:pos="709"/>
          <w:tab w:val="left" w:pos="1134" w:leader="none"/>
        </w:tabs>
        <w:ind w:left="0" w:firstLine="709"/>
        <w:jc w:val="both"/>
        <w:rPr/>
      </w:pPr>
      <w:r>
        <w:rPr/>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pPr>
        <w:pStyle w:val="ListParagraph"/>
        <w:numPr>
          <w:ilvl w:val="0"/>
          <w:numId w:val="12"/>
        </w:numPr>
        <w:tabs>
          <w:tab w:val="clear" w:pos="709"/>
          <w:tab w:val="left" w:pos="1134" w:leader="none"/>
        </w:tabs>
        <w:ind w:left="0" w:firstLine="709"/>
        <w:jc w:val="both"/>
        <w:rPr>
          <w:highlight w:val="none"/>
          <w:shd w:fill="auto" w:val="clear"/>
        </w:rPr>
      </w:pPr>
      <w:r>
        <w:rPr>
          <w:shd w:fill="auto"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shd w:fill="auto" w:val="clear"/>
          <w:vertAlign w:val="superscript"/>
        </w:rPr>
        <w:footnoteReference w:id="19"/>
      </w:r>
    </w:p>
    <w:p>
      <w:pPr>
        <w:pStyle w:val="ListParagraph"/>
        <w:numPr>
          <w:ilvl w:val="0"/>
          <w:numId w:val="12"/>
        </w:numPr>
        <w:tabs>
          <w:tab w:val="clear" w:pos="709"/>
          <w:tab w:val="left" w:pos="1134" w:leader="none"/>
        </w:tabs>
        <w:ind w:left="0"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2"/>
        </w:numPr>
        <w:tabs>
          <w:tab w:val="clear" w:pos="709"/>
          <w:tab w:val="left" w:pos="1134" w:leader="none"/>
        </w:tabs>
        <w:ind w:left="0" w:firstLine="709"/>
        <w:jc w:val="both"/>
        <w:rPr/>
      </w:pPr>
      <w:r>
        <w:rPr/>
        <w:t xml:space="preserve">привлечение к выполнению Работ по Договору третьих лиц (Субподрядчиков) </w:t>
        <w:br/>
        <w:t>с нарушением требований, установленных пунктом 3.4.3 Договора;</w:t>
      </w:r>
    </w:p>
    <w:p>
      <w:pPr>
        <w:pStyle w:val="ListParagraph"/>
        <w:numPr>
          <w:ilvl w:val="0"/>
          <w:numId w:val="12"/>
        </w:numPr>
        <w:tabs>
          <w:tab w:val="clear" w:pos="709"/>
          <w:tab w:val="left" w:pos="1134" w:leader="none"/>
        </w:tabs>
        <w:ind w:left="0" w:firstLine="709"/>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12"/>
        </w:numPr>
        <w:tabs>
          <w:tab w:val="clear" w:pos="709"/>
          <w:tab w:val="left" w:pos="1134" w:leader="none"/>
        </w:tabs>
        <w:ind w:left="0" w:firstLine="709"/>
        <w:jc w:val="both"/>
        <w:rPr/>
      </w:pPr>
      <w: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16 Договора, и имеющих существенное значение для его заключения и исполнения.</w:t>
      </w:r>
    </w:p>
    <w:p>
      <w:pPr>
        <w:pStyle w:val="ListParagraph"/>
        <w:numPr>
          <w:ilvl w:val="1"/>
          <w:numId w:val="27"/>
        </w:numPr>
        <w:shd w:val="clear" w:color="auto" w:fill="FFFFFF"/>
        <w:tabs>
          <w:tab w:val="clear" w:pos="709"/>
          <w:tab w:val="left" w:pos="1134" w:leader="none"/>
        </w:tabs>
        <w:ind w:left="0" w:firstLine="709"/>
        <w:jc w:val="both"/>
        <w:rPr/>
      </w:pPr>
      <w:r>
        <w:rPr/>
        <w:t xml:space="preserve">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7"/>
        </w:numPr>
        <w:shd w:val="clear" w:color="auto" w:fill="FFFFFF"/>
        <w:tabs>
          <w:tab w:val="clear" w:pos="709"/>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23"/>
        </w:numPr>
        <w:shd w:val="clear" w:color="auto" w:fill="FFFFFF"/>
        <w:tabs>
          <w:tab w:val="clear" w:pos="709"/>
          <w:tab w:val="left" w:pos="1418" w:leader="none"/>
        </w:tabs>
        <w:ind w:left="0" w:firstLine="709"/>
        <w:jc w:val="both"/>
        <w:rPr/>
      </w:pPr>
      <w:r>
        <w:rPr/>
        <w:t>передать Заказчику результаты фактически выполненных Работ, техническую и иную полученную документацию, закупленные Оборудование и Материально-технические ресурсы;</w:t>
      </w:r>
    </w:p>
    <w:p>
      <w:pPr>
        <w:pStyle w:val="ListParagraph"/>
        <w:numPr>
          <w:ilvl w:val="0"/>
          <w:numId w:val="23"/>
        </w:numPr>
        <w:shd w:val="clear" w:color="auto" w:fill="FFFFFF"/>
        <w:tabs>
          <w:tab w:val="clear" w:pos="709"/>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w:t>
        <w:br/>
        <w:t xml:space="preserve">и персонал Подрядчика; </w:t>
      </w:r>
    </w:p>
    <w:p>
      <w:pPr>
        <w:pStyle w:val="ListParagraph"/>
        <w:numPr>
          <w:ilvl w:val="0"/>
          <w:numId w:val="23"/>
        </w:numPr>
        <w:shd w:val="clear" w:color="auto" w:fill="FFFFFF"/>
        <w:tabs>
          <w:tab w:val="clear" w:pos="709"/>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7"/>
        </w:numPr>
        <w:shd w:val="clear" w:color="auto" w:fill="FFFFFF"/>
        <w:tabs>
          <w:tab w:val="clear" w:pos="709"/>
          <w:tab w:val="left" w:pos="1134" w:leader="none"/>
        </w:tabs>
        <w:ind w:left="0" w:firstLine="709"/>
        <w:jc w:val="both"/>
        <w:rPr/>
      </w:pPr>
      <w:r>
        <w:rPr/>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4.5.8 Договора.</w:t>
      </w:r>
    </w:p>
    <w:p>
      <w:pPr>
        <w:pStyle w:val="ListParagraph"/>
        <w:numPr>
          <w:ilvl w:val="1"/>
          <w:numId w:val="27"/>
        </w:numPr>
        <w:shd w:val="clear" w:color="auto" w:fill="FFFFFF"/>
        <w:tabs>
          <w:tab w:val="clear" w:pos="709"/>
          <w:tab w:val="left" w:pos="1134" w:leader="none"/>
        </w:tabs>
        <w:ind w:left="0" w:firstLine="709"/>
        <w:jc w:val="both"/>
        <w:rPr/>
      </w:pPr>
      <w:r>
        <w:rPr/>
        <w:t xml:space="preserve">При прекращении (расторжении) Договора по основаниям, указанным </w:t>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по уплате неустойки (пени), штрафов и возмещению убытков в случаях и размерах, предусмотренных Договором.</w:t>
      </w:r>
    </w:p>
    <w:p>
      <w:pPr>
        <w:pStyle w:val="ListParagraph"/>
        <w:shd w:val="clear" w:color="auto" w:fill="FFFFFF"/>
        <w:tabs>
          <w:tab w:val="clear" w:pos="709"/>
          <w:tab w:val="left" w:pos="1134" w:leader="none"/>
        </w:tabs>
        <w:ind w:left="0" w:hanging="0"/>
        <w:jc w:val="both"/>
        <w:rPr/>
      </w:pPr>
      <w:r>
        <w:rPr/>
      </w:r>
    </w:p>
    <w:p>
      <w:pPr>
        <w:pStyle w:val="ListParagraph"/>
        <w:numPr>
          <w:ilvl w:val="0"/>
          <w:numId w:val="27"/>
        </w:numPr>
        <w:shd w:val="clear" w:color="auto" w:fill="FFFFFF"/>
        <w:tabs>
          <w:tab w:val="clear" w:pos="709"/>
          <w:tab w:val="left" w:pos="426" w:leader="none"/>
        </w:tabs>
        <w:ind w:left="0" w:hanging="0"/>
        <w:jc w:val="center"/>
        <w:rPr>
          <w:b/>
          <w:bCs/>
        </w:rPr>
      </w:pPr>
      <w:r>
        <w:rPr>
          <w:b/>
          <w:bCs/>
        </w:rPr>
        <w:t>Заключительные положения</w:t>
      </w:r>
    </w:p>
    <w:p>
      <w:pPr>
        <w:pStyle w:val="ListParagraph"/>
        <w:numPr>
          <w:ilvl w:val="1"/>
          <w:numId w:val="27"/>
        </w:numPr>
        <w:shd w:val="clear" w:color="auto" w:fill="FFFFFF"/>
        <w:tabs>
          <w:tab w:val="clear" w:pos="709"/>
          <w:tab w:val="left" w:pos="1134" w:leader="none"/>
        </w:tabs>
        <w:ind w:left="0" w:firstLine="709"/>
        <w:jc w:val="both"/>
        <w:rPr/>
      </w:pPr>
      <w:r>
        <w:rPr/>
        <w:t xml:space="preserve">Договор вступает в силу с даты его подписания Сторонами и действует </w:t>
        <w:br/>
        <w:t>до полного исполнения ими принятых на себя обя</w:t>
      </w:r>
      <w:r>
        <w:rPr>
          <w:shd w:fill="auto" w:val="clear"/>
        </w:rPr>
        <w:t xml:space="preserve">зательств. </w:t>
      </w:r>
    </w:p>
    <w:p>
      <w:pPr>
        <w:pStyle w:val="Normal"/>
        <w:numPr>
          <w:ilvl w:val="1"/>
          <w:numId w:val="27"/>
        </w:numPr>
        <w:snapToGrid w:val="false"/>
        <w:spacing w:lineRule="auto" w:line="240"/>
        <w:ind w:left="0" w:firstLine="709"/>
        <w:rPr>
          <w:highlight w:val="none"/>
          <w:shd w:fill="auto" w:val="clear"/>
        </w:rPr>
      </w:pPr>
      <w:r>
        <w:rPr>
          <w:sz w:val="24"/>
          <w:szCs w:val="24"/>
          <w:shd w:fill="auto" w:val="clear"/>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spacing w:lineRule="auto" w:line="240"/>
        <w:ind w:firstLine="709"/>
        <w:rPr>
          <w:highlight w:val="none"/>
          <w:shd w:fill="auto" w:val="clear"/>
        </w:rPr>
      </w:pPr>
      <w:r>
        <w:rPr>
          <w:sz w:val="24"/>
          <w:szCs w:val="24"/>
          <w:shd w:fill="auto" w:val="clear"/>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27"/>
        </w:numPr>
        <w:shd w:val="clear" w:color="auto" w:fill="FFFFFF"/>
        <w:tabs>
          <w:tab w:val="clear" w:pos="709"/>
          <w:tab w:val="left" w:pos="1134" w:leader="none"/>
        </w:tabs>
        <w:ind w:left="0" w:firstLine="709"/>
        <w:jc w:val="both"/>
        <w:rPr/>
      </w:pPr>
      <w:r>
        <w:rPr>
          <w:shd w:fill="auto" w:val="clear"/>
        </w:rPr>
        <w:t>Все изменения и дополнения к Договору действительны при услови</w:t>
      </w:r>
      <w:r>
        <w:rPr/>
        <w:t>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w:t>
      </w:r>
      <w:r>
        <w:rPr>
          <w:shd w:fill="auto" w:val="clear"/>
        </w:rPr>
        <w:t xml:space="preserve"> 18.7 Договора. </w:t>
      </w:r>
    </w:p>
    <w:p>
      <w:pPr>
        <w:pStyle w:val="ListParagraph"/>
        <w:numPr>
          <w:ilvl w:val="1"/>
          <w:numId w:val="27"/>
        </w:numPr>
        <w:shd w:val="clear" w:color="auto" w:fill="FFFFFF"/>
        <w:tabs>
          <w:tab w:val="clear" w:pos="709"/>
          <w:tab w:val="left" w:pos="1134" w:leader="none"/>
        </w:tabs>
        <w:ind w:left="0" w:firstLine="709"/>
        <w:jc w:val="both"/>
        <w:rPr>
          <w:highlight w:val="none"/>
          <w:shd w:fill="auto" w:val="clear"/>
        </w:rPr>
      </w:pPr>
      <w:r>
        <w:rPr>
          <w:shd w:fill="auto"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7"/>
        </w:numPr>
        <w:shd w:val="clear" w:color="auto" w:fill="FFFFFF"/>
        <w:tabs>
          <w:tab w:val="clear" w:pos="709"/>
          <w:tab w:val="left" w:pos="1134" w:leader="none"/>
        </w:tabs>
        <w:ind w:left="0" w:firstLine="709"/>
        <w:jc w:val="both"/>
        <w:rPr>
          <w:highlight w:val="none"/>
          <w:shd w:fill="auto" w:val="clear"/>
        </w:rPr>
      </w:pPr>
      <w:r>
        <w:rPr>
          <w:shd w:fill="auto" w:val="clea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27"/>
        </w:numPr>
        <w:shd w:val="clear" w:color="auto" w:fill="FFFFFF"/>
        <w:tabs>
          <w:tab w:val="clear" w:pos="709"/>
          <w:tab w:val="left" w:pos="1134" w:leader="none"/>
        </w:tabs>
        <w:ind w:left="0" w:firstLine="709"/>
        <w:jc w:val="both"/>
        <w:rPr>
          <w:highlight w:val="none"/>
          <w:shd w:fill="auto" w:val="clear"/>
        </w:rPr>
      </w:pPr>
      <w:r>
        <w:rPr>
          <w:shd w:fill="auto" w:val="clea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 xml:space="preserve">в письменной форме в порядке, предусмотренном пунктом 18.8 Договора. </w:t>
      </w:r>
      <w:bookmarkStart w:id="50" w:name="_Ref361338004"/>
    </w:p>
    <w:p>
      <w:pPr>
        <w:pStyle w:val="ListParagraph"/>
        <w:numPr>
          <w:ilvl w:val="1"/>
          <w:numId w:val="27"/>
        </w:numPr>
        <w:shd w:val="clear" w:color="auto" w:fill="FFFFFF"/>
        <w:tabs>
          <w:tab w:val="clear" w:pos="709"/>
          <w:tab w:val="left" w:pos="1134" w:leader="none"/>
        </w:tabs>
        <w:ind w:left="0" w:firstLine="709"/>
        <w:jc w:val="both"/>
        <w:rPr/>
      </w:pPr>
      <w:r>
        <w:rPr>
          <w:shd w:fill="auto" w:val="clear"/>
        </w:rPr>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18.8 Договор</w:t>
      </w:r>
      <w:r>
        <w:rPr/>
        <w:t>а.</w:t>
      </w:r>
      <w:bookmarkEnd w:id="50"/>
      <w:r>
        <w:rPr/>
        <w:t xml:space="preserve"> </w:t>
      </w:r>
    </w:p>
    <w:p>
      <w:pPr>
        <w:pStyle w:val="ListParagraph"/>
        <w:numPr>
          <w:ilvl w:val="1"/>
          <w:numId w:val="27"/>
        </w:numPr>
        <w:shd w:val="clear" w:color="auto" w:fill="FFFFFF"/>
        <w:tabs>
          <w:tab w:val="clear" w:pos="709"/>
          <w:tab w:val="left" w:pos="0" w:leader="none"/>
          <w:tab w:val="left" w:pos="1418" w:leader="none"/>
        </w:tabs>
        <w:ind w:left="0" w:firstLine="709"/>
        <w:jc w:val="both"/>
        <w:rPr>
          <w:bCs/>
        </w:rPr>
      </w:pPr>
      <w:bookmarkStart w:id="51" w:name="_Ref361338019"/>
      <w:r>
        <w:rPr/>
        <w:t>Письма, уведомления и / или сообщения направляются Стороне</w:t>
      </w:r>
      <w:r>
        <w:rPr>
          <w:bCs/>
        </w:rPr>
        <w:t>-</w:t>
      </w:r>
      <w:r>
        <w:rPr/>
        <w:t>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rPr/>
        <w:t xml:space="preserve">: </w:t>
      </w:r>
    </w:p>
    <w:p>
      <w:pPr>
        <w:pStyle w:val="ListParagraph"/>
        <w:widowControl w:val="false"/>
        <w:numPr>
          <w:ilvl w:val="2"/>
          <w:numId w:val="27"/>
        </w:numPr>
        <w:ind w:left="0" w:firstLine="709"/>
        <w:jc w:val="both"/>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27"/>
        </w:numPr>
        <w:ind w:left="0" w:firstLine="709"/>
        <w:jc w:val="both"/>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t xml:space="preserve">; </w:t>
      </w:r>
    </w:p>
    <w:p>
      <w:pPr>
        <w:pStyle w:val="ListParagraph"/>
        <w:widowControl w:val="false"/>
        <w:numPr>
          <w:ilvl w:val="2"/>
          <w:numId w:val="27"/>
        </w:numPr>
        <w:ind w:left="0" w:firstLine="709"/>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709"/>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shd w:fill="auto" w:val="clear"/>
        </w:rPr>
        <w:t>18.8.1 – 18.8.2</w:t>
      </w:r>
      <w:r>
        <w:rPr>
          <w:bCs/>
        </w:rPr>
        <w:t xml:space="preserve"> Договора. </w:t>
      </w:r>
      <w:bookmarkEnd w:id="51"/>
    </w:p>
    <w:p>
      <w:pPr>
        <w:pStyle w:val="Normal"/>
        <w:numPr>
          <w:ilvl w:val="1"/>
          <w:numId w:val="27"/>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7"/>
        </w:numPr>
        <w:shd w:val="clear" w:color="auto" w:fill="FFFFFF"/>
        <w:tabs>
          <w:tab w:val="clear" w:pos="709"/>
          <w:tab w:val="left" w:pos="568" w:leader="none"/>
        </w:tabs>
        <w:ind w:left="0" w:firstLine="709"/>
        <w:jc w:val="both"/>
        <w:rPr>
          <w:bCs/>
        </w:rPr>
      </w:pPr>
      <w: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27"/>
        </w:numPr>
        <w:shd w:val="clear" w:color="auto" w:fill="FFFFFF"/>
        <w:tabs>
          <w:tab w:val="clear" w:pos="709"/>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shd w:val="clear" w:color="auto" w:fill="FFFFFF"/>
        <w:tabs>
          <w:tab w:val="clear" w:pos="709"/>
          <w:tab w:val="left" w:pos="1134" w:leader="none"/>
        </w:tabs>
        <w:ind w:left="0" w:hanging="0"/>
        <w:jc w:val="both"/>
        <w:rPr/>
      </w:pPr>
      <w:r>
        <w:rPr/>
      </w:r>
    </w:p>
    <w:p>
      <w:pPr>
        <w:pStyle w:val="ListParagraph"/>
        <w:numPr>
          <w:ilvl w:val="0"/>
          <w:numId w:val="27"/>
        </w:numPr>
        <w:shd w:val="clear" w:color="auto" w:fill="FFFFFF"/>
        <w:tabs>
          <w:tab w:val="clear" w:pos="709"/>
          <w:tab w:val="left" w:pos="426" w:leader="none"/>
        </w:tabs>
        <w:ind w:left="0" w:hanging="0"/>
        <w:jc w:val="center"/>
        <w:rPr>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ind w:left="0" w:hanging="0"/>
        <w:jc w:val="both"/>
        <w:rPr/>
      </w:pPr>
      <w:r>
        <w:rPr>
          <w:bCs/>
        </w:rPr>
        <w:t xml:space="preserve">Приложение № 2 – </w:t>
      </w:r>
      <w:r>
        <w:rPr/>
        <w:t>Форма Спецификации Оборудования.</w:t>
      </w:r>
    </w:p>
    <w:p>
      <w:pPr>
        <w:pStyle w:val="ListParagraph"/>
        <w:shd w:val="clear" w:color="auto" w:fill="FFFFFF"/>
        <w:ind w:left="0" w:hanging="0"/>
        <w:jc w:val="both"/>
        <w:rPr>
          <w:bCs/>
        </w:rPr>
      </w:pPr>
      <w:r>
        <w:rPr>
          <w:bCs/>
        </w:rPr>
        <w:t>Приложение № 3 – Календарный график поставки Оборудования и выполнения Работ.</w:t>
      </w:r>
    </w:p>
    <w:p>
      <w:pPr>
        <w:pStyle w:val="ListParagraph"/>
        <w:shd w:val="clear" w:color="auto" w:fill="FFFFFF"/>
        <w:ind w:left="0" w:hanging="0"/>
        <w:jc w:val="both"/>
        <w:rPr>
          <w:bCs/>
        </w:rPr>
      </w:pPr>
      <w:r>
        <w:rPr>
          <w:bCs/>
        </w:rPr>
        <w:t>Приложение № 4 – Смета договора с приложениями.</w:t>
      </w:r>
    </w:p>
    <w:p>
      <w:pPr>
        <w:pStyle w:val="ListParagraph"/>
        <w:shd w:val="clear" w:color="auto" w:fill="FFFFFF"/>
        <w:ind w:left="0" w:hanging="0"/>
        <w:jc w:val="both"/>
        <w:rPr>
          <w:bCs/>
        </w:rPr>
      </w:pPr>
      <w:r>
        <w:rPr>
          <w:bCs/>
        </w:rPr>
        <w:t>Приложение № 5.1 – Форма Акта сдачи-приемки места производства работ.</w:t>
      </w:r>
    </w:p>
    <w:p>
      <w:pPr>
        <w:pStyle w:val="ListParagraph"/>
        <w:shd w:val="clear" w:color="auto" w:fill="FFFFFF"/>
        <w:ind w:left="0" w:hanging="0"/>
        <w:jc w:val="both"/>
        <w:rPr>
          <w:bCs/>
        </w:rPr>
      </w:pPr>
      <w:r>
        <w:rPr>
          <w:bCs/>
        </w:rPr>
        <w:t>Приложение № 5.2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6 – Перечень допусков, разрешений и лицензий Подрядчика. </w:t>
      </w:r>
    </w:p>
    <w:p>
      <w:pPr>
        <w:pStyle w:val="ListParagraph"/>
        <w:shd w:val="clear" w:color="auto" w:fill="FFFFFF"/>
        <w:ind w:left="0" w:hanging="0"/>
        <w:jc w:val="both"/>
        <w:rPr>
          <w:bCs/>
        </w:rPr>
      </w:pPr>
      <w:r>
        <w:rPr>
          <w:bCs/>
        </w:rPr>
        <w:t xml:space="preserve">Приложение </w:t>
      </w:r>
      <w:r>
        <w:rPr>
          <w:bCs/>
          <w:shd w:fill="auto" w:val="clear"/>
        </w:rPr>
        <w:t xml:space="preserve">№ 7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highlight w:val="none"/>
          <w:shd w:fill="auto" w:val="clear"/>
        </w:rPr>
      </w:pPr>
      <w:r>
        <w:rPr>
          <w:bCs/>
          <w:shd w:fill="auto" w:val="clear"/>
        </w:rPr>
        <w:t>Приложение № 8 – Форма Акта освидетельствования выполненных работ.</w:t>
      </w:r>
    </w:p>
    <w:p>
      <w:pPr>
        <w:pStyle w:val="ListParagraph"/>
        <w:shd w:val="clear" w:color="auto" w:fill="FFFFFF"/>
        <w:ind w:left="0" w:hanging="0"/>
        <w:jc w:val="both"/>
        <w:rPr>
          <w:highlight w:val="none"/>
          <w:shd w:fill="auto" w:val="clear"/>
        </w:rPr>
      </w:pPr>
      <w:r>
        <w:rPr>
          <w:bCs/>
          <w:shd w:fill="auto" w:val="clear"/>
        </w:rPr>
        <w:t>Приложение № 9 – Форма Акта приемки выполненных работ.</w:t>
      </w:r>
    </w:p>
    <w:p>
      <w:pPr>
        <w:pStyle w:val="ListParagraph"/>
        <w:shd w:val="clear" w:color="auto" w:fill="FFFFFF"/>
        <w:ind w:left="0" w:hanging="0"/>
        <w:jc w:val="both"/>
        <w:rPr>
          <w:highlight w:val="none"/>
          <w:shd w:fill="auto" w:val="clear"/>
        </w:rPr>
      </w:pPr>
      <w:r>
        <w:rPr>
          <w:bCs/>
          <w:shd w:fill="auto" w:val="clear"/>
        </w:rPr>
        <w:t>Приложение № 10 — Форма справки</w:t>
      </w:r>
      <w:r>
        <w:rPr>
          <w:b/>
          <w:bCs/>
          <w:color w:val="000000"/>
          <w:shd w:fill="auto" w:val="clear"/>
        </w:rPr>
        <w:t xml:space="preserve"> </w:t>
      </w:r>
      <w:r>
        <w:rPr>
          <w:bCs/>
          <w:shd w:fill="auto" w:val="clear"/>
        </w:rPr>
        <w:t>о заключенных Подрядчиком договорах с Субподрядчиками.</w:t>
      </w:r>
    </w:p>
    <w:p>
      <w:pPr>
        <w:pStyle w:val="ListParagraph"/>
        <w:shd w:val="clear" w:color="auto" w:fill="FFFFFF"/>
        <w:ind w:left="0" w:hanging="0"/>
        <w:jc w:val="both"/>
        <w:rPr>
          <w:highlight w:val="none"/>
          <w:shd w:fill="auto" w:val="clear"/>
        </w:rPr>
      </w:pPr>
      <w:r>
        <w:rPr>
          <w:bCs/>
          <w:shd w:fill="auto" w:val="clear"/>
        </w:rPr>
        <w:t>Приложение № 11 – Критерии отбора Банков-Гарантов.</w:t>
      </w:r>
    </w:p>
    <w:p>
      <w:pPr>
        <w:pStyle w:val="ListParagraph"/>
        <w:shd w:val="clear" w:color="auto" w:fill="FFFFFF"/>
        <w:ind w:left="0" w:hanging="0"/>
        <w:jc w:val="both"/>
        <w:rPr>
          <w:highlight w:val="none"/>
          <w:shd w:fill="auto" w:val="clear"/>
        </w:rPr>
      </w:pPr>
      <w:r>
        <w:rPr>
          <w:bCs/>
          <w:shd w:fill="auto" w:val="clear"/>
        </w:rPr>
        <w:t>Приложение №12 - Порядок возврата Подрядчиком Заказчику лома и отходов черных и цветных металлов, образовавшихся при производстве работ.</w:t>
      </w:r>
    </w:p>
    <w:p>
      <w:pPr>
        <w:pStyle w:val="ListParagraph"/>
        <w:shd w:val="clear" w:color="auto" w:fill="FFFFFF"/>
        <w:ind w:left="0" w:hanging="0"/>
        <w:jc w:val="both"/>
        <w:rPr>
          <w:b w:val="false"/>
          <w:bCs w:val="false"/>
          <w:highlight w:val="none"/>
          <w:shd w:fill="auto" w:val="clear"/>
        </w:rPr>
      </w:pPr>
      <w:r>
        <w:rPr>
          <w:b w:val="false"/>
          <w:bCs w:val="false"/>
          <w:shd w:fill="auto" w:val="clear"/>
        </w:rPr>
        <w:t>Приложение № 13 – Методика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Дальнего Востока.</w:t>
      </w:r>
    </w:p>
    <w:p>
      <w:pPr>
        <w:pStyle w:val="ListParagraph"/>
        <w:shd w:val="clear" w:color="auto" w:fill="FFFFFF"/>
        <w:ind w:left="0" w:hanging="0"/>
        <w:jc w:val="both"/>
        <w:rPr>
          <w:bCs/>
          <w:highlight w:val="none"/>
          <w:shd w:fill="auto" w:val="clear"/>
        </w:rPr>
      </w:pPr>
      <w:r>
        <w:rPr>
          <w:bCs/>
          <w:shd w:fill="auto" w:val="clear"/>
        </w:rPr>
      </w:r>
    </w:p>
    <w:p>
      <w:pPr>
        <w:pStyle w:val="ListParagraph"/>
        <w:shd w:val="clear" w:color="auto" w:fill="FFFFFF"/>
        <w:ind w:left="0" w:hanging="0"/>
        <w:jc w:val="both"/>
        <w:rPr>
          <w:bCs/>
          <w:highlight w:val="none"/>
          <w:shd w:fill="auto" w:val="clear"/>
        </w:rPr>
      </w:pPr>
      <w:r>
        <w:rPr>
          <w:bCs/>
          <w:shd w:fill="auto" w:val="clear"/>
        </w:rPr>
      </w:r>
    </w:p>
    <w:p>
      <w:pPr>
        <w:pStyle w:val="ListParagraph"/>
        <w:numPr>
          <w:ilvl w:val="0"/>
          <w:numId w:val="27"/>
        </w:numPr>
        <w:shd w:val="clear" w:color="auto" w:fill="FFFFFF"/>
        <w:tabs>
          <w:tab w:val="clear" w:pos="709"/>
          <w:tab w:val="left" w:pos="426" w:leader="none"/>
        </w:tabs>
        <w:ind w:left="0" w:hanging="0"/>
        <w:jc w:val="center"/>
        <w:rPr>
          <w:b/>
          <w:bCs/>
        </w:rPr>
      </w:pPr>
      <w:r>
        <w:rPr>
          <w:b/>
          <w:bCs/>
        </w:rPr>
        <w:t>Адреса и платежные реквизиты Сторон</w:t>
      </w:r>
    </w:p>
    <w:p>
      <w:pPr>
        <w:sectPr>
          <w:headerReference w:type="first" r:id="rId5"/>
          <w:footerReference w:type="default" r:id="rId6"/>
          <w:footnotePr>
            <w:numFmt w:val="decimal"/>
          </w:footnotePr>
          <w:type w:val="nextPage"/>
          <w:pgSz w:w="11906" w:h="16838"/>
          <w:pgMar w:left="1418" w:right="851" w:gutter="0" w:header="709" w:top="709" w:footer="0" w:bottom="1134"/>
          <w:pgNumType w:fmt="decimal"/>
          <w:formProt w:val="false"/>
          <w:titlePg/>
          <w:textDirection w:val="lrTb"/>
          <w:docGrid w:type="default" w:linePitch="312" w:charSpace="0"/>
        </w:sectPr>
      </w:pPr>
    </w:p>
    <w:tbl>
      <w:tblPr>
        <w:tblW w:w="9639"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922"/>
        <w:gridCol w:w="6"/>
        <w:gridCol w:w="4710"/>
      </w:tblGrid>
      <w:tr>
        <w:trPr/>
        <w:tc>
          <w:tcPr>
            <w:tcW w:w="4928" w:type="dxa"/>
            <w:gridSpan w:val="2"/>
            <w:tcBorders/>
          </w:tcPr>
          <w:p>
            <w:pPr>
              <w:pStyle w:val="Normal"/>
              <w:widowControl w:val="false"/>
              <w:spacing w:lineRule="auto" w:line="240"/>
              <w:ind w:hanging="0"/>
              <w:rPr>
                <w:sz w:val="24"/>
                <w:szCs w:val="24"/>
              </w:rPr>
            </w:pPr>
            <w:r>
              <w:rPr>
                <w:sz w:val="24"/>
                <w:szCs w:val="24"/>
              </w:rPr>
              <w:t>ЗАКАЗЧИК:</w:t>
            </w:r>
          </w:p>
        </w:tc>
        <w:tc>
          <w:tcPr>
            <w:tcW w:w="4710" w:type="dxa"/>
            <w:tcBorders/>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tcPr>
          <w:p>
            <w:pPr>
              <w:pStyle w:val="Normal"/>
              <w:widowControl w:val="false"/>
              <w:spacing w:lineRule="auto" w:line="240"/>
              <w:ind w:hanging="0"/>
              <w:jc w:val="left"/>
              <w:rPr>
                <w:sz w:val="24"/>
                <w:szCs w:val="24"/>
              </w:rPr>
            </w:pPr>
            <w:r>
              <w:rPr>
                <w:sz w:val="24"/>
                <w:szCs w:val="24"/>
              </w:rPr>
              <w:t>ОО «МГЭС Ставрополья и КЧР» Адрес юридического лица:</w:t>
            </w:r>
          </w:p>
          <w:p>
            <w:pPr>
              <w:pStyle w:val="Normal"/>
              <w:widowControl w:val="false"/>
              <w:spacing w:lineRule="auto" w:line="240"/>
              <w:ind w:hanging="0"/>
              <w:jc w:val="left"/>
              <w:rPr>
                <w:sz w:val="24"/>
                <w:szCs w:val="24"/>
              </w:rPr>
            </w:pPr>
            <w:r>
              <w:rPr>
                <w:sz w:val="24"/>
                <w:szCs w:val="24"/>
              </w:rPr>
              <w:t>357431, Ставропольский край,</w:t>
            </w:r>
          </w:p>
          <w:p>
            <w:pPr>
              <w:pStyle w:val="Normal"/>
              <w:widowControl w:val="false"/>
              <w:spacing w:lineRule="auto" w:line="240"/>
              <w:ind w:hanging="0"/>
              <w:jc w:val="left"/>
              <w:rPr>
                <w:sz w:val="24"/>
                <w:szCs w:val="24"/>
              </w:rPr>
            </w:pPr>
            <w:r>
              <w:rPr>
                <w:sz w:val="24"/>
                <w:szCs w:val="24"/>
              </w:rPr>
              <w:t>г.о. город-курорт Железноводск,</w:t>
            </w:r>
          </w:p>
          <w:p>
            <w:pPr>
              <w:pStyle w:val="Normal"/>
              <w:widowControl w:val="false"/>
              <w:spacing w:lineRule="auto" w:line="240"/>
              <w:ind w:hanging="0"/>
              <w:jc w:val="left"/>
              <w:rPr>
                <w:sz w:val="24"/>
                <w:szCs w:val="24"/>
              </w:rPr>
            </w:pPr>
            <w:r>
              <w:rPr>
                <w:sz w:val="24"/>
                <w:szCs w:val="24"/>
              </w:rPr>
              <w:t>п. Иноземцево, ул. Гагарина, д. 2Н,</w:t>
            </w:r>
          </w:p>
          <w:p>
            <w:pPr>
              <w:pStyle w:val="Normal"/>
              <w:widowControl w:val="false"/>
              <w:spacing w:lineRule="auto" w:line="240"/>
              <w:ind w:hanging="0"/>
              <w:jc w:val="left"/>
              <w:rPr>
                <w:sz w:val="24"/>
                <w:szCs w:val="24"/>
              </w:rPr>
            </w:pPr>
            <w:r>
              <w:rPr>
                <w:sz w:val="24"/>
                <w:szCs w:val="24"/>
              </w:rPr>
              <w:t xml:space="preserve">помещ.35 </w:t>
            </w:r>
          </w:p>
          <w:p>
            <w:pPr>
              <w:pStyle w:val="Normal"/>
              <w:widowControl w:val="false"/>
              <w:spacing w:lineRule="auto" w:line="240"/>
              <w:ind w:hanging="0"/>
              <w:jc w:val="left"/>
              <w:rPr>
                <w:sz w:val="24"/>
                <w:szCs w:val="24"/>
              </w:rPr>
            </w:pPr>
            <w:r>
              <w:rPr>
                <w:sz w:val="24"/>
                <w:szCs w:val="24"/>
              </w:rPr>
              <w:t>ИНН 0917014406 КПП 262701001</w:t>
            </w:r>
          </w:p>
          <w:p>
            <w:pPr>
              <w:pStyle w:val="Normal"/>
              <w:widowControl w:val="false"/>
              <w:spacing w:lineRule="auto" w:line="240"/>
              <w:ind w:hanging="0"/>
              <w:jc w:val="left"/>
              <w:rPr>
                <w:sz w:val="24"/>
                <w:szCs w:val="24"/>
              </w:rPr>
            </w:pPr>
            <w:r>
              <w:rPr>
                <w:sz w:val="24"/>
                <w:szCs w:val="24"/>
              </w:rPr>
              <w:t>ОГРН 1090917001867</w:t>
            </w:r>
          </w:p>
          <w:p>
            <w:pPr>
              <w:pStyle w:val="Normal"/>
              <w:widowControl w:val="false"/>
              <w:spacing w:lineRule="auto" w:line="240"/>
              <w:ind w:hanging="0"/>
              <w:jc w:val="left"/>
              <w:rPr>
                <w:sz w:val="24"/>
                <w:szCs w:val="24"/>
              </w:rPr>
            </w:pPr>
            <w:r>
              <w:rPr>
                <w:sz w:val="24"/>
                <w:szCs w:val="24"/>
              </w:rPr>
              <w:t>Банк ГПБ (АО) г. Москва</w:t>
            </w:r>
          </w:p>
          <w:p>
            <w:pPr>
              <w:pStyle w:val="Normal"/>
              <w:widowControl w:val="false"/>
              <w:spacing w:lineRule="auto" w:line="240"/>
              <w:ind w:hanging="0"/>
              <w:jc w:val="left"/>
              <w:rPr>
                <w:sz w:val="24"/>
                <w:szCs w:val="24"/>
              </w:rPr>
            </w:pPr>
            <w:r>
              <w:rPr>
                <w:sz w:val="24"/>
                <w:szCs w:val="24"/>
              </w:rPr>
              <w:t>р/с 40702810100000038229</w:t>
            </w:r>
          </w:p>
          <w:p>
            <w:pPr>
              <w:pStyle w:val="Normal"/>
              <w:widowControl w:val="false"/>
              <w:spacing w:lineRule="auto" w:line="240"/>
              <w:ind w:hanging="0"/>
              <w:jc w:val="left"/>
              <w:rPr>
                <w:sz w:val="24"/>
                <w:szCs w:val="24"/>
              </w:rPr>
            </w:pPr>
            <w:r>
              <w:rPr>
                <w:sz w:val="24"/>
                <w:szCs w:val="24"/>
              </w:rPr>
              <w:t>к/с 30101810200000000823</w:t>
            </w:r>
          </w:p>
          <w:p>
            <w:pPr>
              <w:pStyle w:val="Normal"/>
              <w:widowControl w:val="false"/>
              <w:spacing w:lineRule="auto" w:line="240"/>
              <w:ind w:hanging="0"/>
              <w:jc w:val="left"/>
              <w:rPr>
                <w:sz w:val="24"/>
                <w:szCs w:val="24"/>
              </w:rPr>
            </w:pPr>
            <w:r>
              <w:rPr>
                <w:sz w:val="24"/>
                <w:szCs w:val="24"/>
              </w:rPr>
              <w:t>БИК 044525823</w:t>
            </w:r>
          </w:p>
          <w:p>
            <w:pPr>
              <w:pStyle w:val="Normal"/>
              <w:widowControl w:val="false"/>
              <w:spacing w:lineRule="auto" w:line="240"/>
              <w:ind w:hanging="0"/>
              <w:jc w:val="left"/>
              <w:rPr>
                <w:sz w:val="24"/>
                <w:szCs w:val="24"/>
              </w:rPr>
            </w:pPr>
            <w:r>
              <w:rPr>
                <w:sz w:val="24"/>
                <w:szCs w:val="24"/>
              </w:rPr>
              <w:t>тел.+7 (800) 333 80 00*6174</w:t>
            </w:r>
          </w:p>
          <w:p>
            <w:pPr>
              <w:pStyle w:val="Normal"/>
              <w:widowControl w:val="false"/>
              <w:spacing w:lineRule="auto" w:line="240"/>
              <w:ind w:hanging="0"/>
              <w:jc w:val="left"/>
              <w:rPr>
                <w:sz w:val="24"/>
                <w:szCs w:val="24"/>
              </w:rPr>
            </w:pPr>
            <w:r>
              <w:rPr>
                <w:sz w:val="24"/>
                <w:szCs w:val="24"/>
              </w:rPr>
              <w:t xml:space="preserve">Э/почта: </w:t>
            </w:r>
            <w:r>
              <w:rPr>
                <w:rStyle w:val="Hyperlink"/>
                <w:sz w:val="24"/>
                <w:szCs w:val="24"/>
              </w:rPr>
              <w:t>UK_GidroOGK-YuG@rushydro.ru</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tc>
        <w:tc>
          <w:tcPr>
            <w:tcW w:w="4710" w:type="dxa"/>
            <w:tcBorders/>
          </w:tcPr>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t>Юридический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922" w:type="dxa"/>
            <w:tcBorders/>
          </w:tcPr>
          <w:p>
            <w:pPr>
              <w:pStyle w:val="Normal"/>
              <w:widowControl w:val="false"/>
              <w:spacing w:lineRule="auto" w:line="240"/>
              <w:ind w:hanging="0"/>
              <w:jc w:val="left"/>
              <w:rPr>
                <w:highlight w:val="none"/>
                <w:shd w:fill="auto" w:val="clear"/>
              </w:rPr>
            </w:pPr>
            <w:r>
              <w:rPr>
                <w:sz w:val="24"/>
                <w:szCs w:val="24"/>
                <w:shd w:fill="auto" w:val="clear"/>
              </w:rPr>
              <w:t>_______________ /</w:t>
            </w:r>
            <w:r>
              <w:rPr>
                <w:sz w:val="24"/>
                <w:szCs w:val="24"/>
                <w:shd w:fill="auto" w:val="clear"/>
              </w:rPr>
              <w:t>_____________</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716" w:type="dxa"/>
            <w:gridSpan w:val="2"/>
            <w:tcBorders/>
          </w:tcPr>
          <w:p>
            <w:pPr>
              <w:pStyle w:val="Normal"/>
              <w:widowControl w:val="false"/>
              <w:spacing w:lineRule="auto" w:line="240"/>
              <w:ind w:hanging="0"/>
              <w:jc w:val="left"/>
              <w:rPr>
                <w:highlight w:val="none"/>
                <w:shd w:fill="auto" w:val="clear"/>
              </w:rPr>
            </w:pPr>
            <w:r>
              <w:rPr>
                <w:sz w:val="24"/>
                <w:szCs w:val="24"/>
                <w:shd w:fill="auto" w:val="clear"/>
              </w:rPr>
              <w:t xml:space="preserve">_______________ / _______________ </w:t>
            </w:r>
          </w:p>
        </w:tc>
      </w:tr>
    </w:tbl>
    <w:p>
      <w:pPr>
        <w:pStyle w:val="Normal"/>
        <w:rPr/>
      </w:pPr>
      <w:r>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spacing w:lineRule="auto" w:line="240"/>
        <w:ind w:firstLine="4820"/>
        <w:jc w:val="right"/>
        <w:rPr/>
      </w:pPr>
      <w:r>
        <w:rPr>
          <w:sz w:val="22"/>
          <w:szCs w:val="22"/>
        </w:rPr>
        <w:t>При</w:t>
      </w:r>
      <w:r>
        <w:rPr>
          <w:sz w:val="22"/>
          <w:szCs w:val="22"/>
        </w:rPr>
        <w:t>ложение № 1</w:t>
      </w:r>
    </w:p>
    <w:p>
      <w:pPr>
        <w:pStyle w:val="Normal"/>
        <w:spacing w:lineRule="auto" w:line="240"/>
        <w:ind w:firstLine="4820"/>
        <w:jc w:val="right"/>
        <w:rPr/>
      </w:pPr>
      <w:r>
        <w:rPr>
          <w:sz w:val="22"/>
          <w:szCs w:val="22"/>
        </w:rPr>
        <w:t>к Договору подряда</w:t>
      </w:r>
    </w:p>
    <w:p>
      <w:pPr>
        <w:pStyle w:val="Normal"/>
        <w:spacing w:lineRule="auto" w:line="240"/>
        <w:ind w:firstLine="4820"/>
        <w:jc w:val="right"/>
        <w:rPr/>
      </w:pPr>
      <w:r>
        <w:rPr>
          <w:sz w:val="22"/>
          <w:szCs w:val="22"/>
        </w:rPr>
        <w:t>от «____» __________ 2026 г. № ________</w:t>
      </w:r>
    </w:p>
    <w:p>
      <w:pPr>
        <w:pStyle w:val="Normal"/>
        <w:spacing w:lineRule="auto" w:line="240"/>
        <w:ind w:hanging="0"/>
        <w:jc w:val="right"/>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rPr/>
      </w:pPr>
      <w:r>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rPr/>
      </w:pPr>
      <w:r>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rPr/>
      </w:pPr>
      <w:r>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rPr/>
      </w:pPr>
      <w:r>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rPr/>
      </w:pPr>
      <w:r>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rPr/>
      </w:pPr>
      <w:r>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rPr/>
      </w:pPr>
      <w:r>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rPr/>
      </w:pPr>
      <w:r>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footnotePr>
            <w:numFmt w:val="decimal"/>
          </w:footnotePr>
          <w:type w:val="continuous"/>
          <w:pgSz w:w="11906" w:h="16838"/>
          <w:pgMar w:left="1418" w:right="851" w:gutter="0" w:header="0" w:top="709" w:footer="0" w:bottom="1134"/>
          <w:pgNumType w:fmt="decimal"/>
          <w:formProt w:val="false"/>
          <w:textDirection w:val="lrTb"/>
          <w:docGrid w:type="default" w:linePitch="312" w:charSpace="0"/>
        </w:sectPr>
      </w:pPr>
      <w:r>
        <w:br w:type="page"/>
      </w:r>
    </w:p>
    <w:p>
      <w:pPr>
        <w:pStyle w:val="Normal"/>
        <w:spacing w:lineRule="auto" w:line="240"/>
        <w:ind w:hanging="0"/>
        <w:jc w:val="right"/>
        <w:rPr/>
      </w:pPr>
      <w:r>
        <w:rPr>
          <w:sz w:val="22"/>
          <w:szCs w:val="22"/>
        </w:rPr>
        <w:t>Приложение № 2</w:t>
      </w:r>
    </w:p>
    <w:p>
      <w:pPr>
        <w:pStyle w:val="Normal"/>
        <w:spacing w:lineRule="auto" w:line="240"/>
        <w:ind w:firstLine="4820"/>
        <w:jc w:val="right"/>
        <w:rPr/>
      </w:pPr>
      <w:r>
        <w:rPr>
          <w:sz w:val="22"/>
          <w:szCs w:val="22"/>
        </w:rPr>
        <w:t>к договору подряда</w:t>
      </w:r>
    </w:p>
    <w:p>
      <w:pPr>
        <w:pStyle w:val="Normal"/>
        <w:spacing w:lineRule="auto" w:line="240"/>
        <w:ind w:firstLine="10065"/>
        <w:jc w:val="right"/>
        <w:rPr/>
      </w:pPr>
      <w:r>
        <w:rPr>
          <w:sz w:val="22"/>
          <w:szCs w:val="22"/>
        </w:rPr>
        <w:t>от «____» __________ 2026 г. № _____</w:t>
      </w:r>
    </w:p>
    <w:p>
      <w:pPr>
        <w:pStyle w:val="Normal"/>
        <w:spacing w:lineRule="auto" w:line="240"/>
        <w:ind w:hanging="0"/>
        <w:jc w:val="center"/>
        <w:rPr>
          <w:b/>
          <w:sz w:val="24"/>
          <w:szCs w:val="24"/>
        </w:rPr>
      </w:pPr>
      <w:r>
        <w:rPr>
          <w:b/>
          <w:sz w:val="24"/>
          <w:szCs w:val="24"/>
        </w:rPr>
      </w:r>
    </w:p>
    <w:p>
      <w:pPr>
        <w:pStyle w:val="Normal"/>
        <w:spacing w:lineRule="auto" w:line="240"/>
        <w:ind w:hanging="0"/>
        <w:jc w:val="center"/>
        <w:rPr/>
      </w:pPr>
      <w:r>
        <w:rPr>
          <w:b/>
          <w:sz w:val="24"/>
          <w:szCs w:val="24"/>
        </w:rPr>
        <w:t>СПЕЦИФИКАЦИЯ ОБОРУДОВАНИЯ (форма)</w:t>
      </w:r>
    </w:p>
    <w:tbl>
      <w:tblPr>
        <w:tblW w:w="5000" w:type="pct"/>
        <w:jc w:val="center"/>
        <w:tblInd w:w="0" w:type="dxa"/>
        <w:tblLayout w:type="fixed"/>
        <w:tblCellMar>
          <w:top w:w="0" w:type="dxa"/>
          <w:left w:w="108" w:type="dxa"/>
          <w:bottom w:w="0" w:type="dxa"/>
          <w:right w:w="108" w:type="dxa"/>
        </w:tblCellMar>
        <w:tblLook w:noVBand="1" w:val="04a0" w:noHBand="0" w:lastColumn="0" w:firstColumn="1" w:lastRow="0" w:firstRow="1"/>
      </w:tblPr>
      <w:tblGrid>
        <w:gridCol w:w="610"/>
        <w:gridCol w:w="538"/>
        <w:gridCol w:w="824"/>
        <w:gridCol w:w="848"/>
        <w:gridCol w:w="861"/>
        <w:gridCol w:w="1084"/>
        <w:gridCol w:w="1056"/>
        <w:gridCol w:w="910"/>
        <w:gridCol w:w="1050"/>
        <w:gridCol w:w="975"/>
        <w:gridCol w:w="750"/>
        <w:gridCol w:w="933"/>
        <w:gridCol w:w="791"/>
        <w:gridCol w:w="734"/>
        <w:gridCol w:w="1014"/>
        <w:gridCol w:w="1588"/>
      </w:tblGrid>
      <w:tr>
        <w:trPr>
          <w:trHeight w:val="526" w:hRule="atLeast"/>
        </w:trPr>
        <w:tc>
          <w:tcPr>
            <w:tcW w:w="6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w:t>
            </w:r>
            <w:r>
              <w:rPr>
                <w:bCs/>
                <w:sz w:val="20"/>
                <w:szCs w:val="20"/>
              </w:rPr>
              <w:t>Партии Оборудования</w:t>
            </w:r>
          </w:p>
        </w:tc>
        <w:tc>
          <w:tcPr>
            <w:tcW w:w="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 xml:space="preserve">№ </w:t>
            </w:r>
            <w:r>
              <w:rPr>
                <w:bCs/>
                <w:sz w:val="20"/>
                <w:szCs w:val="20"/>
              </w:rPr>
              <w:t>поз.</w:t>
            </w:r>
          </w:p>
        </w:tc>
        <w:tc>
          <w:tcPr>
            <w:tcW w:w="8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Наименование Оборудования</w:t>
            </w:r>
          </w:p>
        </w:tc>
        <w:tc>
          <w:tcPr>
            <w:tcW w:w="8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0"/>
                <w:szCs w:val="20"/>
              </w:rPr>
            </w:pPr>
            <w:r>
              <w:rPr>
                <w:bCs/>
                <w:sz w:val="20"/>
                <w:szCs w:val="20"/>
              </w:rPr>
              <w:t>Артикул, тип, марка</w:t>
            </w:r>
          </w:p>
        </w:tc>
        <w:tc>
          <w:tcPr>
            <w:tcW w:w="8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Завод изготовитель</w:t>
            </w:r>
          </w:p>
        </w:tc>
        <w:tc>
          <w:tcPr>
            <w:tcW w:w="10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0"/>
                <w:szCs w:val="20"/>
              </w:rPr>
            </w:pPr>
            <w:r>
              <w:rPr>
                <w:bCs/>
                <w:sz w:val="20"/>
                <w:szCs w:val="20"/>
              </w:rPr>
              <w:t>Страна происхождения Оборудования</w:t>
            </w:r>
            <w:r>
              <w:rPr>
                <w:rStyle w:val="FootnoteReference"/>
                <w:bCs/>
              </w:rPr>
              <w:footnoteReference w:id="20"/>
            </w:r>
          </w:p>
        </w:tc>
        <w:tc>
          <w:tcPr>
            <w:tcW w:w="10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sz w:val="20"/>
                <w:szCs w:val="20"/>
              </w:rPr>
              <w:t>Страна регистрации производителя Оборудования</w:t>
            </w:r>
          </w:p>
        </w:tc>
        <w:tc>
          <w:tcPr>
            <w:tcW w:w="9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Код ОКПД 2 (с наименованием)</w:t>
            </w:r>
          </w:p>
        </w:tc>
        <w:tc>
          <w:tcPr>
            <w:tcW w:w="10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Единица измерения</w:t>
            </w:r>
          </w:p>
        </w:tc>
        <w:tc>
          <w:tcPr>
            <w:tcW w:w="9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pPr>
            <w:r>
              <w:rPr>
                <w:bCs/>
                <w:sz w:val="20"/>
                <w:szCs w:val="20"/>
              </w:rPr>
              <w:t>Порядковый номер(а) реестровой(ых) записи</w:t>
            </w:r>
          </w:p>
          <w:p>
            <w:pPr>
              <w:pStyle w:val="Normal"/>
              <w:widowControl w:val="false"/>
              <w:spacing w:lineRule="auto" w:line="240"/>
              <w:ind w:hanging="0"/>
              <w:jc w:val="center"/>
              <w:rPr/>
            </w:pPr>
            <w:r>
              <w:rPr>
                <w:bCs/>
                <w:sz w:val="20"/>
                <w:szCs w:val="20"/>
              </w:rPr>
              <w:t>(ей)</w:t>
            </w:r>
            <w:r>
              <w:rPr>
                <w:rStyle w:val="FootnoteReference"/>
                <w:bCs/>
                <w:sz w:val="20"/>
              </w:rPr>
              <w:footnoteReference w:id="21"/>
            </w:r>
          </w:p>
          <w:p>
            <w:pPr>
              <w:pStyle w:val="Normal"/>
              <w:widowControl w:val="false"/>
              <w:spacing w:lineRule="auto" w:line="240"/>
              <w:ind w:hanging="0"/>
              <w:jc w:val="center"/>
              <w:rPr>
                <w:bCs/>
                <w:sz w:val="20"/>
                <w:szCs w:val="20"/>
              </w:rPr>
            </w:pPr>
            <w:r>
              <w:rPr>
                <w:bCs/>
                <w:sz w:val="20"/>
                <w:szCs w:val="20"/>
              </w:rPr>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Количество</w:t>
            </w:r>
          </w:p>
        </w:tc>
        <w:tc>
          <w:tcPr>
            <w:tcW w:w="9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Цена за единицу, руб. без НДС</w:t>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Цена, руб. без НДС</w:t>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НДС</w:t>
            </w:r>
          </w:p>
          <w:p>
            <w:pPr>
              <w:pStyle w:val="Normal"/>
              <w:widowControl w:val="false"/>
              <w:spacing w:lineRule="auto" w:line="240"/>
              <w:ind w:hanging="0"/>
              <w:jc w:val="center"/>
              <w:rPr>
                <w:bCs/>
                <w:sz w:val="20"/>
                <w:szCs w:val="20"/>
              </w:rPr>
            </w:pPr>
            <w:r>
              <w:rPr>
                <w:bCs/>
                <w:sz w:val="20"/>
                <w:szCs w:val="20"/>
              </w:rPr>
              <w:t>(___%) руб.</w:t>
            </w:r>
          </w:p>
        </w:tc>
        <w:tc>
          <w:tcPr>
            <w:tcW w:w="10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Стоимость, руб., с НДС</w:t>
            </w:r>
          </w:p>
        </w:tc>
        <w:tc>
          <w:tcPr>
            <w:tcW w:w="15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Перечень сопроводительных документов (в том числе подтверждающих качество Оборудования)</w:t>
            </w:r>
          </w:p>
        </w:tc>
      </w:tr>
      <w:tr>
        <w:trPr>
          <w:trHeight w:val="122" w:hRule="atLeast"/>
        </w:trPr>
        <w:tc>
          <w:tcPr>
            <w:tcW w:w="61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pPr>
            <w:r>
              <w:rPr>
                <w:bCs/>
                <w:sz w:val="20"/>
                <w:szCs w:val="20"/>
              </w:rPr>
              <w:t>1</w:t>
            </w:r>
          </w:p>
        </w:tc>
        <w:tc>
          <w:tcPr>
            <w:tcW w:w="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pPr>
            <w:r>
              <w:rPr>
                <w:sz w:val="20"/>
                <w:szCs w:val="20"/>
              </w:rPr>
              <w:t>1</w:t>
            </w:r>
          </w:p>
        </w:tc>
        <w:tc>
          <w:tcPr>
            <w:tcW w:w="8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8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8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9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9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9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r>
          </w:p>
        </w:tc>
        <w:tc>
          <w:tcPr>
            <w:tcW w:w="10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highlight w:val="yellow"/>
              </w:rPr>
            </w:pPr>
            <w:r>
              <w:rPr>
                <w:sz w:val="20"/>
                <w:szCs w:val="20"/>
                <w:highlight w:val="yellow"/>
              </w:rPr>
            </w:r>
          </w:p>
        </w:tc>
        <w:tc>
          <w:tcPr>
            <w:tcW w:w="15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106" w:hRule="atLeast"/>
        </w:trPr>
        <w:tc>
          <w:tcPr>
            <w:tcW w:w="6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r>
          </w:p>
        </w:tc>
        <w:tc>
          <w:tcPr>
            <w:tcW w:w="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pPr>
            <w:r>
              <w:rPr>
                <w:sz w:val="20"/>
                <w:szCs w:val="20"/>
              </w:rPr>
              <w:t>2</w:t>
            </w:r>
          </w:p>
        </w:tc>
        <w:tc>
          <w:tcPr>
            <w:tcW w:w="8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8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8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9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9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9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r>
          </w:p>
        </w:tc>
        <w:tc>
          <w:tcPr>
            <w:tcW w:w="10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highlight w:val="yellow"/>
              </w:rPr>
            </w:pPr>
            <w:r>
              <w:rPr>
                <w:sz w:val="20"/>
                <w:szCs w:val="20"/>
                <w:highlight w:val="yellow"/>
              </w:rPr>
            </w:r>
          </w:p>
        </w:tc>
        <w:tc>
          <w:tcPr>
            <w:tcW w:w="15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62" w:hRule="atLeast"/>
        </w:trPr>
        <w:tc>
          <w:tcPr>
            <w:tcW w:w="11964"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pPr>
            <w:r>
              <w:rPr>
                <w:sz w:val="20"/>
                <w:szCs w:val="20"/>
              </w:rPr>
              <w:t>Итого стоимость Партии Оборудования №1, руб. с НДС</w:t>
            </w:r>
          </w:p>
        </w:tc>
        <w:tc>
          <w:tcPr>
            <w:tcW w:w="2602"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74" w:hRule="atLeast"/>
        </w:trPr>
        <w:tc>
          <w:tcPr>
            <w:tcW w:w="61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pPr>
            <w:r>
              <w:rPr>
                <w:bCs/>
                <w:sz w:val="20"/>
                <w:szCs w:val="20"/>
              </w:rPr>
              <w:t>2</w:t>
            </w:r>
          </w:p>
        </w:tc>
        <w:tc>
          <w:tcPr>
            <w:tcW w:w="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pPr>
            <w:r>
              <w:rPr>
                <w:sz w:val="20"/>
                <w:szCs w:val="20"/>
              </w:rPr>
              <w:t>3</w:t>
            </w:r>
          </w:p>
        </w:tc>
        <w:tc>
          <w:tcPr>
            <w:tcW w:w="8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8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8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9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9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9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r>
          </w:p>
        </w:tc>
        <w:tc>
          <w:tcPr>
            <w:tcW w:w="10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highlight w:val="yellow"/>
              </w:rPr>
            </w:pPr>
            <w:r>
              <w:rPr>
                <w:sz w:val="20"/>
                <w:szCs w:val="20"/>
                <w:highlight w:val="yellow"/>
              </w:rPr>
            </w:r>
          </w:p>
        </w:tc>
        <w:tc>
          <w:tcPr>
            <w:tcW w:w="15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118" w:hRule="atLeast"/>
        </w:trPr>
        <w:tc>
          <w:tcPr>
            <w:tcW w:w="6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r>
          </w:p>
        </w:tc>
        <w:tc>
          <w:tcPr>
            <w:tcW w:w="5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pPr>
            <w:r>
              <w:rPr>
                <w:sz w:val="20"/>
                <w:szCs w:val="20"/>
              </w:rPr>
              <w:t>4</w:t>
            </w:r>
          </w:p>
        </w:tc>
        <w:tc>
          <w:tcPr>
            <w:tcW w:w="8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84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86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9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10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9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rPr>
            </w:pPr>
            <w:r>
              <w:rPr>
                <w:sz w:val="20"/>
                <w:szCs w:val="20"/>
              </w:rPr>
            </w:r>
          </w:p>
        </w:tc>
        <w:tc>
          <w:tcPr>
            <w:tcW w:w="7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9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7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rPr>
            </w:pPr>
            <w:r>
              <w:rPr>
                <w:sz w:val="20"/>
                <w:szCs w:val="20"/>
              </w:rPr>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r>
          </w:p>
        </w:tc>
        <w:tc>
          <w:tcPr>
            <w:tcW w:w="10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highlight w:val="yellow"/>
              </w:rPr>
            </w:pPr>
            <w:r>
              <w:rPr>
                <w:sz w:val="20"/>
                <w:szCs w:val="20"/>
                <w:highlight w:val="yellow"/>
              </w:rPr>
            </w:r>
          </w:p>
        </w:tc>
        <w:tc>
          <w:tcPr>
            <w:tcW w:w="15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62" w:hRule="atLeast"/>
        </w:trPr>
        <w:tc>
          <w:tcPr>
            <w:tcW w:w="11964"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pPr>
            <w:r>
              <w:rPr>
                <w:sz w:val="20"/>
                <w:szCs w:val="20"/>
              </w:rPr>
              <w:t>Итого стоимость Партии Оборудования №2, руб. с НДС</w:t>
            </w:r>
          </w:p>
        </w:tc>
        <w:tc>
          <w:tcPr>
            <w:tcW w:w="2602"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262" w:hRule="atLeast"/>
        </w:trPr>
        <w:tc>
          <w:tcPr>
            <w:tcW w:w="11964"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pPr>
            <w:r>
              <w:rPr>
                <w:sz w:val="20"/>
                <w:szCs w:val="20"/>
              </w:rPr>
              <w:t>Итого стоимость всего Оборудования (с учетом доставки), руб. с НДС:</w:t>
            </w:r>
          </w:p>
        </w:tc>
        <w:tc>
          <w:tcPr>
            <w:tcW w:w="2602"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center"/>
              <w:rPr>
                <w:sz w:val="20"/>
                <w:szCs w:val="20"/>
                <w:highlight w:val="yellow"/>
              </w:rPr>
            </w:pPr>
            <w:r>
              <w:rPr>
                <w:sz w:val="20"/>
                <w:szCs w:val="20"/>
                <w:highlight w:val="yellow"/>
              </w:rPr>
            </w:r>
          </w:p>
        </w:tc>
      </w:tr>
    </w:tbl>
    <w:p>
      <w:pPr>
        <w:pStyle w:val="Normal"/>
        <w:widowControl w:val="false"/>
        <w:spacing w:lineRule="auto" w:line="240"/>
        <w:ind w:hanging="0"/>
        <w:rPr/>
      </w:pPr>
      <w:r>
        <w:rPr>
          <w:i/>
          <w:sz w:val="22"/>
          <w:szCs w:val="22"/>
        </w:rPr>
        <w:t>1. 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pPr>
        <w:pStyle w:val="Normal"/>
        <w:widowControl w:val="false"/>
        <w:spacing w:lineRule="auto" w:line="240"/>
        <w:ind w:right="-314" w:hanging="0"/>
        <w:jc w:val="left"/>
        <w:rPr/>
      </w:pPr>
      <w:r>
        <w:rPr>
          <w:i/>
          <w:sz w:val="22"/>
          <w:szCs w:val="22"/>
        </w:rPr>
        <w:t>2. По требованию Заказчика Подрядчик обязан представить запрашиваемую информацию/документы, расчеты, обосновывающие стоимость доставки.</w:t>
      </w:r>
    </w:p>
    <w:p>
      <w:pPr>
        <w:pStyle w:val="Normal"/>
        <w:widowControl w:val="false"/>
        <w:spacing w:lineRule="auto" w:line="240"/>
        <w:ind w:hanging="0"/>
        <w:rPr>
          <w:b/>
          <w:sz w:val="24"/>
          <w:szCs w:val="24"/>
        </w:rPr>
      </w:pPr>
      <w:r>
        <w:rPr>
          <w:b/>
          <w:sz w:val="24"/>
          <w:szCs w:val="24"/>
        </w:rPr>
        <w:t>ФОРМА СОГЛАСОВАНА</w:t>
      </w:r>
    </w:p>
    <w:p>
      <w:pPr>
        <w:pStyle w:val="Normal"/>
        <w:widowControl w:val="false"/>
        <w:spacing w:lineRule="auto" w:line="240"/>
        <w:ind w:hanging="0"/>
        <w:jc w:val="center"/>
        <w:rPr>
          <w:b/>
          <w:sz w:val="24"/>
          <w:szCs w:val="24"/>
        </w:rPr>
      </w:pPr>
      <w:r>
        <w:rPr>
          <w:b/>
          <w:sz w:val="24"/>
          <w:szCs w:val="24"/>
        </w:rPr>
        <w:t>ПОДПИСИ СТОРОН:</w:t>
      </w:r>
    </w:p>
    <w:p>
      <w:pPr>
        <w:pStyle w:val="Normal"/>
        <w:widowControl w:val="false"/>
        <w:spacing w:lineRule="auto" w:line="240"/>
        <w:ind w:hanging="0"/>
        <w:jc w:val="center"/>
        <w:rPr>
          <w:sz w:val="24"/>
          <w:szCs w:val="24"/>
        </w:rPr>
      </w:pPr>
      <w:r>
        <w:rPr>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r>
          </w:p>
          <w:p>
            <w:pPr>
              <w:pStyle w:val="Normal"/>
              <w:widowControl w:val="false"/>
              <w:spacing w:lineRule="auto" w:line="240"/>
              <w:ind w:hanging="0"/>
              <w:jc w:val="left"/>
              <w:rPr>
                <w:sz w:val="24"/>
              </w:rPr>
            </w:pPr>
            <w:r>
              <w:rPr/>
            </w:r>
          </w:p>
        </w:tc>
        <w:tc>
          <w:tcPr>
            <w:tcW w:w="4699" w:type="dxa"/>
            <w:tcBorders/>
          </w:tcPr>
          <w:p>
            <w:pPr>
              <w:pStyle w:val="Normal"/>
              <w:widowControl w:val="false"/>
              <w:suppressAutoHyphens w:val="true"/>
              <w:bidi w:val="0"/>
              <w:spacing w:lineRule="auto" w:line="240" w:before="0" w:after="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r>
          </w:p>
          <w:p>
            <w:pPr>
              <w:pStyle w:val="Normal"/>
              <w:widowControl w:val="false"/>
              <w:spacing w:lineRule="auto" w:line="240"/>
              <w:ind w:hanging="0"/>
              <w:jc w:val="left"/>
              <w:rPr>
                <w:sz w:val="24"/>
              </w:rPr>
            </w:pPr>
            <w:r>
              <w:rPr>
                <w:sz w:val="24"/>
              </w:rPr>
              <w:t>‍</w:t>
            </w:r>
            <w:r>
              <w:rPr>
                <w:sz w:val="24"/>
              </w:rPr>
              <w:t xml:space="preserve">_______________ / </w:t>
            </w:r>
            <w:r>
              <w:rPr>
                <w:sz w:val="24"/>
              </w:rPr>
              <w:t>__________</w:t>
            </w:r>
          </w:p>
        </w:tc>
        <w:tc>
          <w:tcPr>
            <w:tcW w:w="4699" w:type="dxa"/>
            <w:tcBorders/>
          </w:tcPr>
          <w:p>
            <w:pPr>
              <w:pStyle w:val="Normal"/>
              <w:widowControl w:val="false"/>
              <w:spacing w:lineRule="auto" w:line="240"/>
              <w:ind w:hanging="0"/>
              <w:jc w:val="left"/>
              <w:rPr>
                <w:sz w:val="24"/>
              </w:rPr>
            </w:pPr>
            <w:r>
              <w:rPr/>
            </w:r>
          </w:p>
          <w:p>
            <w:pPr>
              <w:pStyle w:val="Normal"/>
              <w:widowControl w:val="false"/>
              <w:spacing w:lineRule="auto" w:line="240"/>
              <w:ind w:hanging="0"/>
              <w:jc w:val="left"/>
              <w:rPr>
                <w:sz w:val="24"/>
              </w:rPr>
            </w:pPr>
            <w:r>
              <w:rPr/>
              <w:t xml:space="preserve">_______________ / </w:t>
            </w:r>
            <w:r>
              <w:rPr/>
              <w:t>__________</w:t>
            </w:r>
          </w:p>
        </w:tc>
      </w:tr>
    </w:tbl>
    <w:p>
      <w:pPr>
        <w:sectPr>
          <w:headerReference w:type="default" r:id="rId7"/>
          <w:footerReference w:type="default" r:id="rId8"/>
          <w:footnotePr>
            <w:numFmt w:val="decimal"/>
          </w:footnotePr>
          <w:type w:val="nextPage"/>
          <w:pgSz w:orient="landscape" w:w="16838" w:h="11906"/>
          <w:pgMar w:left="1134" w:right="1134" w:gutter="0" w:header="567" w:top="1418" w:footer="284" w:bottom="851"/>
          <w:pgNumType w:fmt="decimal"/>
          <w:formProt w:val="false"/>
          <w:textDirection w:val="lrTb"/>
          <w:docGrid w:type="default" w:linePitch="381" w:charSpace="0"/>
        </w:sectPr>
      </w:pPr>
      <w:r>
        <w:br w:type="page"/>
      </w:r>
    </w:p>
    <w:p>
      <w:pPr>
        <w:pStyle w:val="Normal"/>
        <w:spacing w:lineRule="auto" w:line="240"/>
        <w:ind w:firstLine="4820"/>
        <w:jc w:val="right"/>
        <w:rPr/>
      </w:pPr>
      <w:r>
        <w:rPr>
          <w:sz w:val="22"/>
          <w:szCs w:val="22"/>
        </w:rPr>
        <w:t>Приложение № 3</w:t>
      </w:r>
    </w:p>
    <w:p>
      <w:pPr>
        <w:pStyle w:val="Normal"/>
        <w:spacing w:lineRule="auto" w:line="240"/>
        <w:ind w:firstLine="4820"/>
        <w:jc w:val="right"/>
        <w:rPr/>
      </w:pPr>
      <w:r>
        <w:rPr>
          <w:sz w:val="22"/>
          <w:szCs w:val="22"/>
        </w:rPr>
        <w:t>к Договору подряда</w:t>
      </w:r>
    </w:p>
    <w:p>
      <w:pPr>
        <w:pStyle w:val="Normal"/>
        <w:spacing w:lineRule="auto" w:line="240"/>
        <w:ind w:firstLine="4820"/>
        <w:jc w:val="right"/>
        <w:rPr/>
      </w:pPr>
      <w:r>
        <w:rPr>
          <w:sz w:val="22"/>
          <w:szCs w:val="22"/>
        </w:rPr>
        <w:t>от «____» __________ 2026 г. № ________</w:t>
      </w:r>
    </w:p>
    <w:p>
      <w:pPr>
        <w:pStyle w:val="Normal"/>
        <w:spacing w:lineRule="auto" w:line="240"/>
        <w:jc w:val="right"/>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ПОСТАВКИ ОБОРУДОВАНИЯ И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t>Таблица 1. Календарный график выполнения Работ</w:t>
      </w:r>
    </w:p>
    <w:tbl>
      <w:tblPr>
        <w:tblW w:w="9835"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706"/>
        <w:gridCol w:w="1609"/>
        <w:gridCol w:w="1932"/>
        <w:gridCol w:w="1574"/>
        <w:gridCol w:w="1418"/>
        <w:gridCol w:w="774"/>
        <w:gridCol w:w="853"/>
        <w:gridCol w:w="967"/>
      </w:tblGrid>
      <w:tr>
        <w:trPr/>
        <w:tc>
          <w:tcPr>
            <w:tcW w:w="70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 Работ</w:t>
            </w:r>
          </w:p>
        </w:tc>
        <w:tc>
          <w:tcPr>
            <w:tcW w:w="160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Работ (состав Работ)</w:t>
            </w:r>
          </w:p>
        </w:tc>
        <w:tc>
          <w:tcPr>
            <w:tcW w:w="193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 Работ</w:t>
            </w:r>
          </w:p>
          <w:p>
            <w:pPr>
              <w:pStyle w:val="Normal"/>
              <w:widowControl w:val="false"/>
              <w:spacing w:lineRule="auto" w:line="240"/>
              <w:ind w:hanging="0"/>
              <w:jc w:val="center"/>
              <w:rPr>
                <w:sz w:val="20"/>
                <w:szCs w:val="20"/>
              </w:rPr>
            </w:pPr>
            <w:r>
              <w:rPr>
                <w:sz w:val="20"/>
                <w:szCs w:val="20"/>
              </w:rPr>
            </w:r>
          </w:p>
        </w:tc>
        <w:tc>
          <w:tcPr>
            <w:tcW w:w="299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Сроки выполнения Этапа Работ</w:t>
            </w:r>
          </w:p>
        </w:tc>
        <w:tc>
          <w:tcPr>
            <w:tcW w:w="77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(__%), руб.*</w:t>
            </w:r>
          </w:p>
        </w:tc>
        <w:tc>
          <w:tcPr>
            <w:tcW w:w="96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работ, руб. с НДС*</w:t>
            </w:r>
          </w:p>
        </w:tc>
      </w:tr>
      <w:tr>
        <w:trPr/>
        <w:tc>
          <w:tcPr>
            <w:tcW w:w="70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0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93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6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9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9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9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5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7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2"/>
                <w:szCs w:val="22"/>
                <w:highlight w:val="lightGray"/>
              </w:rPr>
            </w:pPr>
            <w:r>
              <w:rPr>
                <w:sz w:val="22"/>
                <w:szCs w:val="22"/>
                <w:highlight w:val="lightGray"/>
              </w:rPr>
              <w:t>-</w:t>
            </w:r>
          </w:p>
        </w:tc>
        <w:tc>
          <w:tcPr>
            <w:tcW w:w="8160"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0"/>
                <w:szCs w:val="20"/>
                <w:highlight w:val="lightGray"/>
              </w:rPr>
            </w:pPr>
            <w:r>
              <w:rPr>
                <w:sz w:val="20"/>
                <w:szCs w:val="20"/>
                <w:highlight w:val="lightGray"/>
              </w:rPr>
              <w:t>Непредвиденные работы и затраты (лимит)</w:t>
            </w:r>
          </w:p>
        </w:tc>
        <w:tc>
          <w:tcPr>
            <w:tcW w:w="9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highlight w:val="lightGray"/>
              </w:rPr>
            </w:pPr>
            <w:r>
              <w:rPr>
                <w:sz w:val="24"/>
                <w:szCs w:val="24"/>
                <w:highlight w:val="lightGray"/>
              </w:rPr>
            </w:r>
          </w:p>
        </w:tc>
      </w:tr>
      <w:tr>
        <w:trPr/>
        <w:tc>
          <w:tcPr>
            <w:tcW w:w="7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2"/>
                <w:szCs w:val="22"/>
                <w:highlight w:val="lightGray"/>
              </w:rPr>
            </w:pPr>
            <w:r>
              <w:rPr>
                <w:sz w:val="22"/>
                <w:szCs w:val="22"/>
                <w:highlight w:val="lightGray"/>
              </w:rPr>
              <w:t>-</w:t>
            </w:r>
          </w:p>
        </w:tc>
        <w:tc>
          <w:tcPr>
            <w:tcW w:w="8160"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0"/>
                <w:szCs w:val="20"/>
              </w:rPr>
            </w:pPr>
            <w:r>
              <w:rPr>
                <w:bCs/>
                <w:sz w:val="20"/>
                <w:szCs w:val="20"/>
                <w:highlight w:val="lightGray"/>
              </w:rPr>
              <w:t>Затраты на временные здания и сооружения (лимит)</w:t>
            </w:r>
          </w:p>
        </w:tc>
        <w:tc>
          <w:tcPr>
            <w:tcW w:w="9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8866"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sz w:val="20"/>
                <w:szCs w:val="20"/>
              </w:rPr>
            </w:pPr>
            <w:r>
              <w:rPr>
                <w:b/>
                <w:sz w:val="20"/>
                <w:szCs w:val="20"/>
              </w:rPr>
              <w:t>Всего по Договору:</w:t>
            </w:r>
          </w:p>
        </w:tc>
        <w:tc>
          <w:tcPr>
            <w:tcW w:w="9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t>Таблица 2. Календарный график поставки Оборудования</w:t>
      </w:r>
    </w:p>
    <w:p>
      <w:pPr>
        <w:pStyle w:val="Normal"/>
        <w:spacing w:lineRule="auto" w:line="240"/>
        <w:rPr>
          <w:sz w:val="24"/>
          <w:szCs w:val="24"/>
        </w:rPr>
      </w:pPr>
      <w:r>
        <w:rPr>
          <w:sz w:val="24"/>
          <w:szCs w:val="24"/>
        </w:rPr>
      </w:r>
    </w:p>
    <w:tbl>
      <w:tblPr>
        <w:tblW w:w="9776"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555"/>
        <w:gridCol w:w="992"/>
        <w:gridCol w:w="1134"/>
        <w:gridCol w:w="1291"/>
        <w:gridCol w:w="1268"/>
        <w:gridCol w:w="1567"/>
        <w:gridCol w:w="800"/>
        <w:gridCol w:w="1167"/>
      </w:tblGrid>
      <w:tr>
        <w:trPr/>
        <w:tc>
          <w:tcPr>
            <w:tcW w:w="155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 xml:space="preserve">Партии Оборудования </w:t>
            </w:r>
          </w:p>
        </w:tc>
        <w:tc>
          <w:tcPr>
            <w:tcW w:w="99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Оборудования (Партий Оборудования)</w:t>
            </w:r>
          </w:p>
        </w:tc>
        <w:tc>
          <w:tcPr>
            <w:tcW w:w="113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Обоснование стоимости Партии Оборудования, пункт Спецификации </w:t>
            </w:r>
          </w:p>
        </w:tc>
        <w:tc>
          <w:tcPr>
            <w:tcW w:w="255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Срок поставки </w:t>
            </w:r>
          </w:p>
          <w:p>
            <w:pPr>
              <w:pStyle w:val="Normal"/>
              <w:widowControl w:val="false"/>
              <w:spacing w:lineRule="auto" w:line="240"/>
              <w:ind w:hanging="0"/>
              <w:jc w:val="center"/>
              <w:rPr>
                <w:sz w:val="20"/>
                <w:szCs w:val="20"/>
              </w:rPr>
            </w:pPr>
            <w:r>
              <w:rPr>
                <w:sz w:val="20"/>
                <w:szCs w:val="20"/>
              </w:rPr>
              <w:t>Партии Оборудования</w:t>
            </w:r>
          </w:p>
        </w:tc>
        <w:tc>
          <w:tcPr>
            <w:tcW w:w="156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Партии Оборудования, руб. без НДС</w:t>
            </w:r>
          </w:p>
        </w:tc>
        <w:tc>
          <w:tcPr>
            <w:tcW w:w="80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Сумма НДС, </w:t>
            </w:r>
          </w:p>
          <w:p>
            <w:pPr>
              <w:pStyle w:val="Normal"/>
              <w:widowControl w:val="false"/>
              <w:spacing w:lineRule="auto" w:line="240"/>
              <w:ind w:hanging="0"/>
              <w:jc w:val="center"/>
              <w:rPr>
                <w:sz w:val="20"/>
                <w:szCs w:val="20"/>
              </w:rPr>
            </w:pPr>
            <w:r>
              <w:rPr>
                <w:sz w:val="20"/>
                <w:szCs w:val="20"/>
              </w:rPr>
              <w:t>(__%)</w:t>
            </w:r>
          </w:p>
          <w:p>
            <w:pPr>
              <w:pStyle w:val="Normal"/>
              <w:widowControl w:val="false"/>
              <w:spacing w:lineRule="auto" w:line="240"/>
              <w:ind w:hanging="0"/>
              <w:jc w:val="center"/>
              <w:rPr>
                <w:sz w:val="20"/>
                <w:szCs w:val="20"/>
              </w:rPr>
            </w:pPr>
            <w:r>
              <w:rPr>
                <w:sz w:val="20"/>
                <w:szCs w:val="20"/>
              </w:rPr>
              <w:t>руб.*</w:t>
            </w:r>
          </w:p>
        </w:tc>
        <w:tc>
          <w:tcPr>
            <w:tcW w:w="116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Партии Оборудования, руб. с НДС*</w:t>
            </w:r>
          </w:p>
        </w:tc>
      </w:tr>
      <w:tr>
        <w:trPr/>
        <w:tc>
          <w:tcPr>
            <w:tcW w:w="155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9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3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2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highlight w:val="lightGray"/>
              </w:rPr>
            </w:pPr>
            <w:r>
              <w:rPr>
                <w:sz w:val="20"/>
                <w:szCs w:val="20"/>
                <w:highlight w:val="lightGray"/>
              </w:rPr>
              <w:t>Начало</w:t>
            </w:r>
          </w:p>
        </w:tc>
        <w:tc>
          <w:tcPr>
            <w:tcW w:w="1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highlight w:val="lightGray"/>
              </w:rPr>
            </w:pPr>
            <w:r>
              <w:rPr>
                <w:sz w:val="20"/>
                <w:szCs w:val="20"/>
                <w:highlight w:val="lightGray"/>
              </w:rPr>
              <w:t>Окончание</w:t>
            </w:r>
          </w:p>
        </w:tc>
        <w:tc>
          <w:tcPr>
            <w:tcW w:w="156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0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6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15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1.</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2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15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2.</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2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155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3.</w:t>
            </w:r>
          </w:p>
        </w:tc>
        <w:tc>
          <w:tcPr>
            <w:tcW w:w="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2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26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8607"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sz w:val="20"/>
                <w:szCs w:val="20"/>
              </w:rPr>
            </w:pPr>
            <w:r>
              <w:rPr>
                <w:b/>
                <w:sz w:val="20"/>
                <w:szCs w:val="20"/>
              </w:rPr>
              <w:t>Всего по Договору:</w:t>
            </w:r>
          </w:p>
        </w:tc>
        <w:tc>
          <w:tcPr>
            <w:tcW w:w="116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bl>
    <w:p>
      <w:pPr>
        <w:pStyle w:val="Normal"/>
        <w:widowControl/>
        <w:bidi w:val="0"/>
        <w:spacing w:lineRule="auto" w:line="240" w:before="0" w:after="0"/>
        <w:ind w:left="0" w:right="-227" w:hanging="0"/>
        <w:jc w:val="both"/>
        <w:rPr>
          <w:sz w:val="20"/>
          <w:szCs w:val="20"/>
        </w:rPr>
      </w:pPr>
      <w:r>
        <w:rPr>
          <w:i/>
          <w:iCs/>
          <w:sz w:val="20"/>
          <w:szCs w:val="20"/>
          <w:shd w:fill="auto" w:val="clear"/>
        </w:rPr>
        <w:t>* При этом сумма НДС является справочной и рассчитана исходя из ставки НДС в соответствии с действующим законодательством Российской Федерации.</w:t>
      </w:r>
    </w:p>
    <w:p>
      <w:pPr>
        <w:pStyle w:val="Normal"/>
        <w:widowControl w:val="false"/>
        <w:spacing w:lineRule="auto" w:line="240"/>
        <w:ind w:hanging="0"/>
        <w:jc w:val="center"/>
        <w:rPr>
          <w:b/>
          <w:sz w:val="24"/>
          <w:szCs w:val="24"/>
        </w:rPr>
      </w:pPr>
      <w:r>
        <w:rPr>
          <w:b/>
          <w:sz w:val="24"/>
          <w:szCs w:val="24"/>
        </w:rPr>
      </w:r>
    </w:p>
    <w:p>
      <w:pPr>
        <w:pStyle w:val="Normal"/>
        <w:widowControl w:val="false"/>
        <w:spacing w:lineRule="auto" w:line="240"/>
        <w:ind w:hanging="0"/>
        <w:jc w:val="center"/>
        <w:rPr>
          <w:b/>
          <w:sz w:val="24"/>
          <w:szCs w:val="24"/>
        </w:rPr>
      </w:pPr>
      <w:r>
        <w:rPr>
          <w:b/>
          <w:sz w:val="24"/>
          <w:szCs w:val="24"/>
        </w:rPr>
        <w:t>ПОДПИСИ СТОРОН:</w:t>
      </w:r>
    </w:p>
    <w:p>
      <w:pPr>
        <w:pStyle w:val="Normal"/>
        <w:widowControl w:val="false"/>
        <w:spacing w:lineRule="auto" w:line="240"/>
        <w:ind w:hanging="0"/>
        <w:jc w:val="center"/>
        <w:rPr>
          <w:sz w:val="24"/>
          <w:szCs w:val="24"/>
        </w:rPr>
      </w:pPr>
      <w:r>
        <w:rPr>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r>
          </w:p>
        </w:tc>
        <w:tc>
          <w:tcPr>
            <w:tcW w:w="4699" w:type="dxa"/>
            <w:tcBorders/>
          </w:tcPr>
          <w:p>
            <w:pPr>
              <w:pStyle w:val="Normal"/>
              <w:widowControl w:val="false"/>
              <w:suppressAutoHyphens w:val="true"/>
              <w:bidi w:val="0"/>
              <w:spacing w:lineRule="auto" w:line="240" w:before="0" w:after="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r>
          </w:p>
          <w:p>
            <w:pPr>
              <w:pStyle w:val="Normal"/>
              <w:widowControl w:val="false"/>
              <w:spacing w:lineRule="auto" w:line="240"/>
              <w:ind w:hanging="0"/>
              <w:jc w:val="left"/>
              <w:rPr>
                <w:sz w:val="24"/>
              </w:rPr>
            </w:pPr>
            <w:r>
              <w:rPr>
                <w:sz w:val="24"/>
              </w:rPr>
              <w:t>‍</w:t>
            </w:r>
            <w:r>
              <w:rPr>
                <w:sz w:val="24"/>
              </w:rPr>
              <w:t xml:space="preserve">_______________ / </w:t>
            </w:r>
            <w:r>
              <w:rPr>
                <w:sz w:val="24"/>
              </w:rPr>
              <w:t>_________</w:t>
            </w:r>
          </w:p>
        </w:tc>
        <w:tc>
          <w:tcPr>
            <w:tcW w:w="4699" w:type="dxa"/>
            <w:tcBorders/>
          </w:tcPr>
          <w:p>
            <w:pPr>
              <w:pStyle w:val="Normal"/>
              <w:widowControl w:val="false"/>
              <w:suppressAutoHyphens w:val="true"/>
              <w:bidi w:val="0"/>
              <w:spacing w:lineRule="auto" w:line="240" w:before="0" w:after="0"/>
              <w:ind w:hanging="0"/>
              <w:jc w:val="left"/>
              <w:rPr>
                <w:sz w:val="24"/>
              </w:rPr>
            </w:pPr>
            <w:r>
              <w:rPr>
                <w:sz w:val="24"/>
              </w:rPr>
            </w:r>
          </w:p>
          <w:p>
            <w:pPr>
              <w:pStyle w:val="Normal"/>
              <w:widowControl w:val="false"/>
              <w:spacing w:lineRule="auto" w:line="240"/>
              <w:ind w:hanging="0"/>
              <w:jc w:val="left"/>
              <w:rPr>
                <w:sz w:val="24"/>
              </w:rPr>
            </w:pPr>
            <w:r>
              <w:rPr/>
              <w:t xml:space="preserve">_______________ / </w:t>
            </w:r>
            <w:r>
              <w:rPr/>
              <w:t>_________</w:t>
            </w:r>
          </w:p>
        </w:tc>
      </w:tr>
    </w:tbl>
    <w:p>
      <w:pPr>
        <w:pStyle w:val="Normal"/>
        <w:ind w:hanging="0"/>
        <w:rPr>
          <w:sz w:val="22"/>
          <w:szCs w:val="22"/>
        </w:rPr>
      </w:pPr>
      <w:r>
        <w:rPr>
          <w:sz w:val="22"/>
          <w:szCs w:val="22"/>
        </w:rPr>
      </w:r>
    </w:p>
    <w:p>
      <w:pPr>
        <w:pStyle w:val="Normal"/>
        <w:widowControl/>
        <w:suppressAutoHyphens w:val="true"/>
        <w:bidi w:val="0"/>
        <w:spacing w:lineRule="auto" w:line="240" w:before="0" w:after="0"/>
        <w:ind w:hanging="0"/>
        <w:jc w:val="both"/>
        <w:rPr>
          <w:sz w:val="22"/>
          <w:szCs w:val="22"/>
        </w:rPr>
      </w:pPr>
      <w:r>
        <w:rPr>
          <w:sz w:val="22"/>
          <w:szCs w:val="22"/>
        </w:rPr>
      </w:r>
    </w:p>
    <w:p>
      <w:pPr>
        <w:pStyle w:val="Normal"/>
        <w:spacing w:lineRule="auto" w:line="240"/>
        <w:ind w:hanging="0"/>
        <w:rPr>
          <w:sz w:val="22"/>
          <w:szCs w:val="22"/>
        </w:rPr>
      </w:pPr>
      <w:r>
        <w:rPr>
          <w:sz w:val="22"/>
          <w:szCs w:val="22"/>
        </w:rPr>
      </w:r>
    </w:p>
    <w:p>
      <w:pPr>
        <w:sectPr>
          <w:headerReference w:type="default" r:id="rId9"/>
          <w:headerReference w:type="first" r:id="rId10"/>
          <w:footerReference w:type="default" r:id="rId11"/>
          <w:footerReference w:type="first" r:id="rId12"/>
          <w:footnotePr>
            <w:numFmt w:val="decimal"/>
          </w:footnotePr>
          <w:type w:val="nextPage"/>
          <w:pgSz w:w="11906" w:h="16838"/>
          <w:pgMar w:left="1418" w:right="851" w:gutter="0" w:header="567" w:top="1134" w:footer="284" w:bottom="1134"/>
          <w:pgNumType w:fmt="decimal"/>
          <w:formProt w:val="false"/>
          <w:textDirection w:val="lrTb"/>
          <w:docGrid w:type="default" w:linePitch="381" w:charSpace="0"/>
        </w:sectPr>
      </w:pPr>
    </w:p>
    <w:p>
      <w:pPr>
        <w:pStyle w:val="Normal"/>
        <w:spacing w:lineRule="auto" w:line="259" w:before="0" w:after="160"/>
        <w:ind w:hanging="0"/>
        <w:jc w:val="left"/>
        <w:rPr>
          <w:sz w:val="22"/>
          <w:szCs w:val="22"/>
        </w:rPr>
      </w:pPr>
      <w:r>
        <w:rPr>
          <w:sz w:val="22"/>
          <w:szCs w:val="22"/>
        </w:rPr>
      </w:r>
      <w:r>
        <w:br w:type="page"/>
      </w:r>
    </w:p>
    <w:p>
      <w:pPr>
        <w:pStyle w:val="Normal"/>
        <w:spacing w:lineRule="auto" w:line="240"/>
        <w:ind w:firstLine="4820"/>
        <w:jc w:val="right"/>
        <w:rPr/>
      </w:pPr>
      <w:r>
        <w:rPr>
          <w:sz w:val="22"/>
          <w:szCs w:val="22"/>
        </w:rPr>
        <w:t>Приложение № 4</w:t>
      </w:r>
    </w:p>
    <w:p>
      <w:pPr>
        <w:pStyle w:val="Normal"/>
        <w:spacing w:lineRule="auto" w:line="240"/>
        <w:ind w:firstLine="4820"/>
        <w:jc w:val="right"/>
        <w:rPr/>
      </w:pPr>
      <w:r>
        <w:rPr>
          <w:sz w:val="22"/>
          <w:szCs w:val="22"/>
        </w:rPr>
        <w:t>к Договору подряда</w:t>
      </w:r>
    </w:p>
    <w:p>
      <w:pPr>
        <w:pStyle w:val="Normal"/>
        <w:spacing w:lineRule="auto" w:line="240"/>
        <w:ind w:firstLine="4820"/>
        <w:jc w:val="right"/>
        <w:rPr/>
      </w:pPr>
      <w:r>
        <w:rPr>
          <w:sz w:val="22"/>
          <w:szCs w:val="22"/>
        </w:rPr>
        <w:t>от «____» __________ 2026 г. № ________</w:t>
      </w:r>
    </w:p>
    <w:p>
      <w:pPr>
        <w:pStyle w:val="Normal"/>
        <w:spacing w:lineRule="auto" w:line="240"/>
        <w:rPr>
          <w:sz w:val="22"/>
          <w:szCs w:val="22"/>
        </w:rPr>
      </w:pPr>
      <w:r>
        <w:rPr>
          <w:sz w:val="22"/>
          <w:szCs w:val="22"/>
        </w:rPr>
      </w:r>
    </w:p>
    <w:p>
      <w:pPr>
        <w:pStyle w:val="Normal"/>
        <w:spacing w:lineRule="auto" w:line="240"/>
        <w:ind w:hanging="0"/>
        <w:jc w:val="center"/>
        <w:rPr>
          <w:b/>
          <w:sz w:val="24"/>
          <w:szCs w:val="24"/>
        </w:rPr>
      </w:pPr>
      <w:r>
        <w:rPr>
          <w:b/>
          <w:sz w:val="24"/>
          <w:szCs w:val="24"/>
        </w:rPr>
        <w:t>СМЕТА ДОГОВОРА с приложением</w:t>
      </w:r>
    </w:p>
    <w:tbl>
      <w:tblPr>
        <w:tblW w:w="9054" w:type="dxa"/>
        <w:jc w:val="center"/>
        <w:tblInd w:w="0" w:type="dxa"/>
        <w:tblLayout w:type="fixed"/>
        <w:tblCellMar>
          <w:top w:w="102" w:type="dxa"/>
          <w:left w:w="62" w:type="dxa"/>
          <w:bottom w:w="102" w:type="dxa"/>
          <w:right w:w="62" w:type="dxa"/>
        </w:tblCellMar>
        <w:tblLook w:noVBand="0" w:val="0000" w:noHBand="0" w:lastColumn="0" w:firstColumn="0" w:lastRow="0" w:firstRow="0"/>
      </w:tblPr>
      <w:tblGrid>
        <w:gridCol w:w="1864"/>
        <w:gridCol w:w="5243"/>
        <w:gridCol w:w="1947"/>
      </w:tblGrid>
      <w:tr>
        <w:trPr>
          <w:trHeight w:val="60" w:hRule="atLeast"/>
        </w:trPr>
        <w:tc>
          <w:tcPr>
            <w:tcW w:w="1864" w:type="dxa"/>
            <w:tcBorders/>
          </w:tcPr>
          <w:p>
            <w:pPr>
              <w:pStyle w:val="ConsPlusNormal"/>
              <w:widowControl w:val="false"/>
              <w:rPr>
                <w:sz w:val="24"/>
              </w:rPr>
            </w:pPr>
            <w:r>
              <w:rPr>
                <w:sz w:val="24"/>
              </w:rPr>
              <w:t>‍</w:t>
            </w:r>
          </w:p>
        </w:tc>
        <w:tc>
          <w:tcPr>
            <w:tcW w:w="5243" w:type="dxa"/>
            <w:tcBorders>
              <w:bottom w:val="single" w:sz="4" w:space="0" w:color="000000"/>
            </w:tcBorders>
          </w:tcPr>
          <w:p>
            <w:pPr>
              <w:pStyle w:val="ConsPlusNormal"/>
              <w:widowControl w:val="false"/>
              <w:jc w:val="center"/>
              <w:rPr>
                <w:rFonts w:ascii="Times New Roman" w:hAnsi="Times New Roman"/>
                <w:sz w:val="24"/>
                <w:szCs w:val="24"/>
              </w:rPr>
            </w:pPr>
            <w:r>
              <w:rPr>
                <w:rFonts w:ascii="Times New Roman" w:hAnsi="Times New Roman"/>
                <w:sz w:val="24"/>
                <w:szCs w:val="24"/>
              </w:rPr>
              <w:t>Нихалойская ГЭС</w:t>
            </w:r>
          </w:p>
        </w:tc>
        <w:tc>
          <w:tcPr>
            <w:tcW w:w="1947" w:type="dxa"/>
            <w:tcBorders/>
          </w:tcPr>
          <w:p>
            <w:pPr>
              <w:pStyle w:val="ConsPlusNormal"/>
              <w:widowControl w:val="false"/>
              <w:rPr>
                <w:rFonts w:ascii="Times New Roman" w:hAnsi="Times New Roman" w:cs="Times New Roman"/>
                <w:sz w:val="24"/>
                <w:szCs w:val="24"/>
              </w:rPr>
            </w:pPr>
            <w:r>
              <w:rPr>
                <w:rFonts w:cs="Times New Roman" w:ascii="Times New Roman" w:hAnsi="Times New Roman"/>
                <w:sz w:val="24"/>
                <w:szCs w:val="24"/>
              </w:rPr>
            </w:r>
          </w:p>
        </w:tc>
      </w:tr>
      <w:tr>
        <w:trPr/>
        <w:tc>
          <w:tcPr>
            <w:tcW w:w="1864" w:type="dxa"/>
            <w:tcBorders/>
            <w:vAlign w:val="bottom"/>
          </w:tcPr>
          <w:p>
            <w:pPr>
              <w:pStyle w:val="ConsPlusNormal"/>
              <w:widowControl w:val="false"/>
              <w:rPr>
                <w:sz w:val="24"/>
              </w:rPr>
            </w:pPr>
            <w:r>
              <w:rPr>
                <w:sz w:val="24"/>
              </w:rPr>
            </w:r>
          </w:p>
        </w:tc>
        <w:tc>
          <w:tcPr>
            <w:tcW w:w="5243" w:type="dxa"/>
            <w:tcBorders>
              <w:top w:val="single" w:sz="4" w:space="0" w:color="000000"/>
            </w:tcBorders>
          </w:tcPr>
          <w:p>
            <w:pPr>
              <w:pStyle w:val="ConsPlusNormal"/>
              <w:widowControl w:val="false"/>
              <w:jc w:val="center"/>
              <w:rPr>
                <w:sz w:val="18"/>
                <w:szCs w:val="18"/>
              </w:rPr>
            </w:pPr>
            <w:r>
              <w:rPr>
                <w:rFonts w:cs="Times New Roman" w:ascii="Times New Roman" w:hAnsi="Times New Roman"/>
                <w:sz w:val="18"/>
                <w:szCs w:val="18"/>
              </w:rPr>
              <w:t>(наименование объекта)</w:t>
            </w:r>
          </w:p>
        </w:tc>
        <w:tc>
          <w:tcPr>
            <w:tcW w:w="1947" w:type="dxa"/>
            <w:tcBorders/>
          </w:tcPr>
          <w:p>
            <w:pPr>
              <w:pStyle w:val="ConsPlusNormal"/>
              <w:widowControl w:val="false"/>
              <w:rPr>
                <w:rFonts w:ascii="Times New Roman" w:hAnsi="Times New Roman" w:cs="Times New Roman"/>
                <w:sz w:val="24"/>
                <w:szCs w:val="24"/>
              </w:rPr>
            </w:pPr>
            <w:r>
              <w:rPr>
                <w:rFonts w:cs="Times New Roman" w:ascii="Times New Roman" w:hAnsi="Times New Roman"/>
                <w:sz w:val="24"/>
                <w:szCs w:val="24"/>
              </w:rPr>
            </w:r>
          </w:p>
        </w:tc>
      </w:tr>
    </w:tbl>
    <w:p>
      <w:pPr>
        <w:pStyle w:val="ConsPlusNormal"/>
        <w:jc w:val="both"/>
        <w:rPr>
          <w:sz w:val="24"/>
          <w:szCs w:val="24"/>
        </w:rPr>
      </w:pPr>
      <w:r>
        <w:rPr>
          <w:sz w:val="24"/>
          <w:szCs w:val="24"/>
        </w:rPr>
      </w:r>
    </w:p>
    <w:tbl>
      <w:tblPr>
        <w:tblW w:w="9518" w:type="dxa"/>
        <w:jc w:val="left"/>
        <w:tblInd w:w="67" w:type="dxa"/>
        <w:tblLayout w:type="fixed"/>
        <w:tblCellMar>
          <w:top w:w="102" w:type="dxa"/>
          <w:left w:w="62" w:type="dxa"/>
          <w:bottom w:w="102" w:type="dxa"/>
          <w:right w:w="62" w:type="dxa"/>
        </w:tblCellMar>
        <w:tblLook w:noVBand="0" w:val="0000" w:noHBand="0" w:lastColumn="0" w:firstColumn="0" w:lastRow="0" w:firstRow="0"/>
      </w:tblPr>
      <w:tblGrid>
        <w:gridCol w:w="505"/>
        <w:gridCol w:w="2397"/>
        <w:gridCol w:w="1229"/>
        <w:gridCol w:w="805"/>
        <w:gridCol w:w="1691"/>
        <w:gridCol w:w="1706"/>
        <w:gridCol w:w="1184"/>
      </w:tblGrid>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239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pPr>
            <w:r>
              <w:rPr>
                <w:rFonts w:cs="Times New Roman" w:ascii="Times New Roman" w:hAnsi="Times New Roman"/>
                <w:color w:val="000000"/>
                <w:sz w:val="24"/>
                <w:szCs w:val="24"/>
              </w:rPr>
              <w:t xml:space="preserve">Наименование конструктивных решений (элементов), комплексов (видов) работ, оборудования </w:t>
            </w:r>
            <w:hyperlink w:anchor="P487">
              <w:r>
                <w:rPr>
                  <w:rFonts w:cs="Times New Roman" w:ascii="Times New Roman" w:hAnsi="Times New Roman"/>
                  <w:color w:val="000000"/>
                  <w:sz w:val="24"/>
                  <w:szCs w:val="24"/>
                </w:rPr>
                <w:t>&lt;1&gt;</w:t>
              </w:r>
            </w:hyperlink>
          </w:p>
        </w:tc>
        <w:tc>
          <w:tcPr>
            <w:tcW w:w="12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color w:val="000000"/>
                <w:sz w:val="24"/>
                <w:szCs w:val="24"/>
              </w:rPr>
              <w:t>Единица измерения</w:t>
            </w:r>
          </w:p>
        </w:tc>
        <w:tc>
          <w:tcPr>
            <w:tcW w:w="8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color w:val="000000"/>
                <w:sz w:val="24"/>
                <w:szCs w:val="24"/>
              </w:rPr>
              <w:t>Количество (объем работ)</w:t>
            </w:r>
          </w:p>
        </w:tc>
        <w:tc>
          <w:tcPr>
            <w:tcW w:w="169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color w:val="000000"/>
                <w:sz w:val="24"/>
                <w:szCs w:val="24"/>
              </w:rPr>
              <w:t>Цена на единицу измерения, без НДС руб.</w:t>
            </w:r>
          </w:p>
        </w:tc>
        <w:tc>
          <w:tcPr>
            <w:tcW w:w="170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color w:val="000000"/>
                <w:sz w:val="24"/>
                <w:szCs w:val="24"/>
              </w:rPr>
              <w:t>Стоимость всего, руб</w:t>
            </w:r>
          </w:p>
        </w:tc>
        <w:tc>
          <w:tcPr>
            <w:tcW w:w="118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color w:val="000000"/>
                <w:sz w:val="24"/>
                <w:szCs w:val="24"/>
              </w:rPr>
              <w:t>Страна происхождения оборудования</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rPr>
              <w:t>1</w:t>
            </w:r>
          </w:p>
        </w:tc>
        <w:tc>
          <w:tcPr>
            <w:tcW w:w="2397"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rPr>
              <w:t>2</w:t>
            </w:r>
          </w:p>
        </w:tc>
        <w:tc>
          <w:tcPr>
            <w:tcW w:w="12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rPr>
              <w:t>3</w:t>
            </w:r>
          </w:p>
        </w:tc>
        <w:tc>
          <w:tcPr>
            <w:tcW w:w="80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rPr>
              <w:t>4</w:t>
            </w:r>
          </w:p>
        </w:tc>
        <w:tc>
          <w:tcPr>
            <w:tcW w:w="1691"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rPr>
              <w:t>5</w:t>
            </w:r>
          </w:p>
        </w:tc>
        <w:tc>
          <w:tcPr>
            <w:tcW w:w="1706"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rPr>
              <w:t>6</w:t>
            </w:r>
          </w:p>
        </w:tc>
        <w:tc>
          <w:tcPr>
            <w:tcW w:w="1184"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4"/>
                <w:szCs w:val="24"/>
              </w:rPr>
            </w:pPr>
            <w:r>
              <w:rPr>
                <w:rFonts w:cs="Times New Roman" w:ascii="Times New Roman" w:hAnsi="Times New Roman"/>
                <w:sz w:val="24"/>
                <w:szCs w:val="24"/>
              </w:rPr>
              <w:t>7</w:t>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rPr>
            </w:pPr>
            <w:r>
              <w:rPr>
                <w:rFonts w:cs="Times New Roman" w:ascii="Times New Roman" w:hAnsi="Times New Roman"/>
                <w:sz w:val="24"/>
                <w:szCs w:val="24"/>
              </w:rPr>
              <w:t>1</w:t>
            </w:r>
          </w:p>
        </w:tc>
        <w:tc>
          <w:tcPr>
            <w:tcW w:w="2397" w:type="dxa"/>
            <w:tcBorders>
              <w:top w:val="single" w:sz="4" w:space="0" w:color="000000"/>
              <w:left w:val="single" w:sz="4" w:space="0" w:color="000000"/>
              <w:bottom w:val="single" w:sz="4" w:space="0" w:color="000000"/>
              <w:right w:val="single" w:sz="4" w:space="0" w:color="000000"/>
            </w:tcBorders>
          </w:tcPr>
          <w:p>
            <w:pPr>
              <w:pStyle w:val="ListParagraph"/>
              <w:widowControl w:val="false"/>
              <w:shd w:val="clear" w:color="auto" w:fill="FFFFFF"/>
              <w:tabs>
                <w:tab w:val="clear" w:pos="709"/>
                <w:tab w:val="left" w:pos="1134" w:leader="none"/>
              </w:tabs>
              <w:ind w:left="0" w:hanging="0"/>
              <w:jc w:val="both"/>
              <w:rPr>
                <w:rFonts w:eastAsia="Times New Roman" w:cs="Times New Roman"/>
                <w:bCs/>
                <w:color w:val="auto"/>
                <w:kern w:val="0"/>
                <w:sz w:val="24"/>
                <w:szCs w:val="24"/>
                <w:lang w:val="ru-RU" w:eastAsia="ru-RU" w:bidi="ar-SA"/>
              </w:rPr>
            </w:pPr>
            <w:r>
              <w:rPr/>
            </w:r>
          </w:p>
        </w:tc>
        <w:tc>
          <w:tcPr>
            <w:tcW w:w="122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80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16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r>
          </w:p>
        </w:tc>
        <w:tc>
          <w:tcPr>
            <w:tcW w:w="17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r>
          </w:p>
        </w:tc>
        <w:tc>
          <w:tcPr>
            <w:tcW w:w="118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r>
      <w:tr>
        <w:trPr/>
        <w:tc>
          <w:tcPr>
            <w:tcW w:w="505" w:type="dxa"/>
            <w:tcBorders>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rPr>
            </w:pPr>
            <w:r>
              <w:rPr>
                <w:rFonts w:cs="Times New Roman" w:ascii="Times New Roman" w:hAnsi="Times New Roman"/>
                <w:sz w:val="24"/>
                <w:szCs w:val="24"/>
              </w:rPr>
              <w:t>2</w:t>
            </w:r>
          </w:p>
        </w:tc>
        <w:tc>
          <w:tcPr>
            <w:tcW w:w="2397" w:type="dxa"/>
            <w:tcBorders>
              <w:left w:val="single" w:sz="4" w:space="0" w:color="000000"/>
              <w:bottom w:val="single" w:sz="4" w:space="0" w:color="000000"/>
              <w:right w:val="single" w:sz="4" w:space="0" w:color="000000"/>
            </w:tcBorders>
          </w:tcPr>
          <w:p>
            <w:pPr>
              <w:pStyle w:val="Normal"/>
              <w:widowControl w:val="false"/>
              <w:spacing w:lineRule="auto" w:line="240"/>
              <w:ind w:hanging="0"/>
              <w:jc w:val="left"/>
              <w:rPr>
                <w:sz w:val="24"/>
                <w:szCs w:val="24"/>
              </w:rPr>
            </w:pPr>
            <w:r>
              <w:rPr/>
            </w:r>
          </w:p>
        </w:tc>
        <w:tc>
          <w:tcPr>
            <w:tcW w:w="1229" w:type="dxa"/>
            <w:tcBorders>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805" w:type="dxa"/>
            <w:tcBorders>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1691"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r>
          </w:p>
        </w:tc>
        <w:tc>
          <w:tcPr>
            <w:tcW w:w="1706" w:type="dxa"/>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highlight w:val="none"/>
                <w:shd w:fill="auto" w:val="clear"/>
              </w:rPr>
            </w:pPr>
            <w:r>
              <w:rPr/>
            </w:r>
          </w:p>
        </w:tc>
        <w:tc>
          <w:tcPr>
            <w:tcW w:w="1184" w:type="dxa"/>
            <w:tcBorders>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rPr>
            </w:pPr>
            <w:r>
              <w:rPr>
                <w:rFonts w:cs="Times New Roman" w:ascii="Times New Roman" w:hAnsi="Times New Roman"/>
                <w:sz w:val="24"/>
                <w:szCs w:val="24"/>
              </w:rPr>
            </w:r>
          </w:p>
        </w:tc>
        <w:tc>
          <w:tcPr>
            <w:tcW w:w="2397" w:type="dxa"/>
            <w:tcBorders>
              <w:top w:val="single" w:sz="4" w:space="0" w:color="000000"/>
              <w:left w:val="single" w:sz="4" w:space="0" w:color="000000"/>
              <w:bottom w:val="single" w:sz="4" w:space="0" w:color="000000"/>
              <w:right w:val="single" w:sz="4" w:space="0" w:color="000000"/>
            </w:tcBorders>
          </w:tcPr>
          <w:p>
            <w:pPr>
              <w:pStyle w:val="ConsPlusNormal"/>
              <w:widowControl w:val="false"/>
              <w:rPr>
                <w:sz w:val="24"/>
                <w:szCs w:val="24"/>
              </w:rPr>
            </w:pPr>
            <w:r>
              <w:rPr>
                <w:rFonts w:cs="Times New Roman" w:ascii="Times New Roman" w:hAnsi="Times New Roman"/>
                <w:sz w:val="24"/>
                <w:szCs w:val="24"/>
              </w:rPr>
              <w:t>Итого</w:t>
            </w:r>
            <w:r>
              <w:rPr>
                <w:rFonts w:cs="Times New Roman" w:ascii="Times New Roman" w:hAnsi="Times New Roman"/>
                <w:sz w:val="24"/>
                <w:szCs w:val="24"/>
                <w:lang w:val="en-US"/>
              </w:rPr>
              <w:t xml:space="preserve"> без учета НДС</w:t>
            </w:r>
            <w:r>
              <w:rPr>
                <w:rFonts w:cs="Times New Roman" w:ascii="Times New Roman" w:hAnsi="Times New Roman"/>
                <w:sz w:val="24"/>
                <w:szCs w:val="24"/>
              </w:rPr>
              <w:t>:</w:t>
            </w:r>
          </w:p>
        </w:tc>
        <w:tc>
          <w:tcPr>
            <w:tcW w:w="122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r>
          </w:p>
        </w:tc>
        <w:tc>
          <w:tcPr>
            <w:tcW w:w="80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r>
          </w:p>
        </w:tc>
        <w:tc>
          <w:tcPr>
            <w:tcW w:w="16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170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118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rPr>
            </w:pPr>
            <w:r>
              <w:rPr>
                <w:rFonts w:cs="Times New Roman" w:ascii="Times New Roman" w:hAnsi="Times New Roman"/>
                <w:sz w:val="24"/>
                <w:szCs w:val="24"/>
              </w:rPr>
            </w:r>
          </w:p>
        </w:tc>
        <w:tc>
          <w:tcPr>
            <w:tcW w:w="2397" w:type="dxa"/>
            <w:tcBorders>
              <w:top w:val="single" w:sz="4" w:space="0" w:color="000000"/>
              <w:left w:val="single" w:sz="4" w:space="0" w:color="000000"/>
              <w:bottom w:val="single" w:sz="4" w:space="0" w:color="000000"/>
              <w:right w:val="single" w:sz="4" w:space="0" w:color="000000"/>
            </w:tcBorders>
          </w:tcPr>
          <w:p>
            <w:pPr>
              <w:pStyle w:val="ConsPlusNormal"/>
              <w:widowControl w:val="false"/>
              <w:rPr>
                <w:sz w:val="24"/>
                <w:szCs w:val="24"/>
              </w:rPr>
            </w:pPr>
            <w:r>
              <w:rPr>
                <w:rFonts w:cs="Times New Roman" w:ascii="Times New Roman" w:hAnsi="Times New Roman"/>
                <w:sz w:val="24"/>
                <w:szCs w:val="24"/>
              </w:rPr>
              <w:t>Сумма НДС (ставка 22%)</w:t>
            </w:r>
          </w:p>
        </w:tc>
        <w:tc>
          <w:tcPr>
            <w:tcW w:w="122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r>
          </w:p>
        </w:tc>
        <w:tc>
          <w:tcPr>
            <w:tcW w:w="80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r>
          </w:p>
        </w:tc>
        <w:tc>
          <w:tcPr>
            <w:tcW w:w="16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170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118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r>
          </w:p>
        </w:tc>
      </w:tr>
      <w:tr>
        <w:trPr/>
        <w:tc>
          <w:tcPr>
            <w:tcW w:w="505" w:type="dxa"/>
            <w:tcBorders>
              <w:top w:val="single" w:sz="4" w:space="0" w:color="000000"/>
              <w:left w:val="single" w:sz="4" w:space="0" w:color="000000"/>
              <w:bottom w:val="single" w:sz="4" w:space="0" w:color="000000"/>
              <w:right w:val="single" w:sz="4" w:space="0" w:color="000000"/>
            </w:tcBorders>
          </w:tcPr>
          <w:p>
            <w:pPr>
              <w:pStyle w:val="ConsPlusNormal"/>
              <w:widowControl w:val="false"/>
              <w:rPr>
                <w:rFonts w:ascii="Times New Roman" w:hAnsi="Times New Roman" w:cs="Times New Roman"/>
                <w:sz w:val="24"/>
                <w:szCs w:val="24"/>
              </w:rPr>
            </w:pPr>
            <w:r>
              <w:rPr>
                <w:rFonts w:cs="Times New Roman" w:ascii="Times New Roman" w:hAnsi="Times New Roman"/>
                <w:sz w:val="24"/>
                <w:szCs w:val="24"/>
              </w:rPr>
            </w:r>
          </w:p>
        </w:tc>
        <w:tc>
          <w:tcPr>
            <w:tcW w:w="2397" w:type="dxa"/>
            <w:tcBorders>
              <w:top w:val="single" w:sz="4" w:space="0" w:color="000000"/>
              <w:left w:val="single" w:sz="4" w:space="0" w:color="000000"/>
              <w:bottom w:val="single" w:sz="4" w:space="0" w:color="000000"/>
              <w:right w:val="single" w:sz="4" w:space="0" w:color="000000"/>
            </w:tcBorders>
          </w:tcPr>
          <w:p>
            <w:pPr>
              <w:pStyle w:val="ConsPlusNormal"/>
              <w:widowControl w:val="false"/>
              <w:rPr>
                <w:sz w:val="24"/>
                <w:szCs w:val="24"/>
              </w:rPr>
            </w:pPr>
            <w:r>
              <w:rPr>
                <w:rFonts w:cs="Times New Roman" w:ascii="Times New Roman" w:hAnsi="Times New Roman"/>
                <w:sz w:val="24"/>
                <w:szCs w:val="24"/>
              </w:rPr>
              <w:t>Всего с НДС:</w:t>
            </w:r>
          </w:p>
        </w:tc>
        <w:tc>
          <w:tcPr>
            <w:tcW w:w="122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r>
          </w:p>
        </w:tc>
        <w:tc>
          <w:tcPr>
            <w:tcW w:w="805"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r>
          </w:p>
        </w:tc>
        <w:tc>
          <w:tcPr>
            <w:tcW w:w="169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1706"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1184"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t>Приложение: Ведомость объемов конструктивных решений (элементов) и комплексов (видов) работ на объекте Нихалойская ГЭС</w:t>
      </w:r>
    </w:p>
    <w:p>
      <w:pPr>
        <w:pStyle w:val="Normal"/>
        <w:spacing w:lineRule="auto" w:line="240"/>
        <w:rPr>
          <w:sz w:val="24"/>
          <w:szCs w:val="24"/>
        </w:rPr>
      </w:pPr>
      <w:r>
        <w:rPr/>
      </w:r>
    </w:p>
    <w:p>
      <w:pPr>
        <w:pStyle w:val="Normal"/>
        <w:spacing w:lineRule="auto" w:line="240"/>
        <w:rPr>
          <w:sz w:val="24"/>
          <w:szCs w:val="24"/>
        </w:rPr>
      </w:pPr>
      <w:r>
        <w:rPr/>
      </w:r>
    </w:p>
    <w:p>
      <w:pPr>
        <w:pStyle w:val="Normal"/>
        <w:widowControl w:val="false"/>
        <w:spacing w:lineRule="auto" w:line="240"/>
        <w:ind w:hanging="0"/>
        <w:jc w:val="center"/>
        <w:rPr>
          <w:b/>
          <w:sz w:val="24"/>
          <w:szCs w:val="24"/>
        </w:rPr>
      </w:pPr>
      <w:r>
        <w:rPr>
          <w:b/>
          <w:sz w:val="24"/>
          <w:szCs w:val="24"/>
        </w:rPr>
        <w:t>ПОДПИСИ СТОРОН:</w:t>
      </w:r>
    </w:p>
    <w:p>
      <w:pPr>
        <w:pStyle w:val="Normal"/>
        <w:widowControl w:val="false"/>
        <w:spacing w:lineRule="auto" w:line="240"/>
        <w:ind w:hanging="0"/>
        <w:jc w:val="center"/>
        <w:rPr>
          <w:sz w:val="24"/>
          <w:szCs w:val="24"/>
        </w:rPr>
      </w:pPr>
      <w:r>
        <w:rPr>
          <w:sz w:val="24"/>
          <w:szCs w:val="24"/>
        </w:rPr>
      </w:r>
    </w:p>
    <w:p>
      <w:pPr>
        <w:sectPr>
          <w:footnotePr>
            <w:numFmt w:val="decimal"/>
          </w:footnotePr>
          <w:type w:val="continuous"/>
          <w:pgSz w:w="11906" w:h="16838"/>
          <w:pgMar w:left="1418" w:right="851" w:gutter="0" w:header="567" w:top="1134" w:footer="284" w:bottom="1134"/>
          <w:formProt w:val="false"/>
          <w:textDirection w:val="lrTb"/>
          <w:docGrid w:type="default" w:linePitch="381" w:charSpace="0"/>
        </w:sectPr>
      </w:pPr>
    </w:p>
    <w:p>
      <w:pPr>
        <w:pStyle w:val="Normal"/>
        <w:rPr>
          <w:sz w:val="12"/>
          <w:szCs w:val="12"/>
        </w:rPr>
      </w:pPr>
      <w:r>
        <w:rPr>
          <w:sz w:val="12"/>
          <w:szCs w:val="12"/>
        </w:rPr>
      </w:r>
    </w:p>
    <w:p>
      <w:pPr>
        <w:sectPr>
          <w:footnotePr>
            <w:numFmt w:val="decimal"/>
          </w:footnotePr>
          <w:type w:val="continuous"/>
          <w:pgSz w:w="11906" w:h="16838"/>
          <w:pgMar w:left="1418" w:right="851" w:gutter="0" w:header="567" w:top="1134" w:footer="284" w:bottom="1134"/>
          <w:formProt w:val="false"/>
          <w:textDirection w:val="lrTb"/>
          <w:docGrid w:type="default" w:linePitch="381" w:charSpace="0"/>
        </w:sectPr>
      </w:pPr>
    </w:p>
    <w:p>
      <w:pPr>
        <w:pStyle w:val="Normal"/>
        <w:rPr>
          <w:sz w:val="12"/>
          <w:szCs w:val="12"/>
        </w:rPr>
      </w:pPr>
      <w:r>
        <w:rPr>
          <w:sz w:val="12"/>
          <w:szCs w:val="12"/>
        </w:rPr>
      </w:r>
    </w:p>
    <w:p>
      <w:pPr>
        <w:sectPr>
          <w:footnotePr>
            <w:numFmt w:val="decimal"/>
          </w:footnotePr>
          <w:type w:val="continuous"/>
          <w:pgSz w:w="11906" w:h="16838"/>
          <w:pgMar w:left="1418" w:right="851" w:gutter="0" w:header="567" w:top="1134" w:footer="284" w:bottom="1134"/>
          <w:formProt w:val="false"/>
          <w:textDirection w:val="lrTb"/>
          <w:docGrid w:type="default" w:linePitch="381" w:charSpace="0"/>
        </w:sectPr>
      </w:pPr>
    </w:p>
    <w:p>
      <w:pPr>
        <w:pStyle w:val="Normal"/>
        <w:rPr>
          <w:sz w:val="12"/>
          <w:szCs w:val="12"/>
        </w:rPr>
      </w:pPr>
      <w:r>
        <w:rPr>
          <w:sz w:val="12"/>
          <w:szCs w:val="12"/>
        </w:rPr>
      </w:r>
    </w:p>
    <w:p>
      <w:pPr>
        <w:sectPr>
          <w:footnotePr>
            <w:numFmt w:val="decimal"/>
          </w:footnotePr>
          <w:type w:val="continuous"/>
          <w:pgSz w:w="11906" w:h="16838"/>
          <w:pgMar w:left="1418" w:right="851" w:gutter="0" w:header="567" w:top="1134" w:footer="284" w:bottom="1134"/>
          <w:formProt w:val="false"/>
          <w:textDirection w:val="lrTb"/>
          <w:docGrid w:type="default" w:linePitch="381" w:charSpace="0"/>
        </w:sectPr>
      </w:pP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p>
        </w:tc>
        <w:tc>
          <w:tcPr>
            <w:tcW w:w="4699" w:type="dxa"/>
            <w:tcBorders/>
          </w:tcPr>
          <w:p>
            <w:pPr>
              <w:pStyle w:val="Normal"/>
              <w:widowControl w:val="false"/>
              <w:suppressAutoHyphens w:val="true"/>
              <w:bidi w:val="0"/>
              <w:spacing w:lineRule="auto" w:line="240" w:before="0" w:after="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r>
              <w:rPr>
                <w:sz w:val="24"/>
              </w:rPr>
              <w:t xml:space="preserve">_______________ / </w:t>
            </w:r>
            <w:r>
              <w:rPr>
                <w:sz w:val="24"/>
              </w:rPr>
              <w:t>____________</w:t>
            </w:r>
          </w:p>
        </w:tc>
        <w:tc>
          <w:tcPr>
            <w:tcW w:w="4699" w:type="dxa"/>
            <w:tcBorders/>
          </w:tcPr>
          <w:p>
            <w:pPr>
              <w:pStyle w:val="Normal"/>
              <w:widowControl w:val="false"/>
              <w:spacing w:lineRule="auto" w:line="240"/>
              <w:ind w:hanging="0"/>
              <w:jc w:val="left"/>
              <w:rPr>
                <w:sz w:val="24"/>
              </w:rPr>
            </w:pPr>
            <w:r>
              <w:rPr/>
              <w:t xml:space="preserve">_______________ / </w:t>
            </w:r>
            <w:r>
              <w:rPr/>
              <w:t>____________</w:t>
            </w:r>
          </w:p>
        </w:tc>
      </w:tr>
    </w:tbl>
    <w:p>
      <w:pPr>
        <w:pStyle w:val="Normal"/>
        <w:pageBreakBefore w:val="false"/>
        <w:jc w:val="right"/>
        <w:rPr>
          <w:sz w:val="24"/>
          <w:szCs w:val="24"/>
        </w:rPr>
      </w:pPr>
      <w:r>
        <w:rPr>
          <w:sz w:val="24"/>
          <w:szCs w:val="24"/>
        </w:rPr>
      </w:r>
      <w:r>
        <w:br w:type="page"/>
      </w:r>
    </w:p>
    <w:p>
      <w:pPr>
        <w:pStyle w:val="Normal"/>
        <w:jc w:val="right"/>
        <w:rPr>
          <w:sz w:val="24"/>
          <w:szCs w:val="24"/>
        </w:rPr>
      </w:pPr>
      <w:r>
        <w:rPr>
          <w:sz w:val="24"/>
          <w:szCs w:val="24"/>
        </w:rPr>
        <w:t>Приложение к Смете Договора</w:t>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p>
      <w:pPr>
        <w:pStyle w:val="ConsPlusNormal"/>
        <w:jc w:val="center"/>
        <w:rPr>
          <w:rFonts w:ascii="Times New Roman" w:hAnsi="Times New Roman" w:cs="Times New Roman"/>
          <w:sz w:val="24"/>
          <w:szCs w:val="24"/>
        </w:rPr>
      </w:pPr>
      <w:bookmarkStart w:id="52" w:name="P647"/>
      <w:bookmarkEnd w:id="52"/>
      <w:r>
        <w:rPr>
          <w:rFonts w:cs="Times New Roman" w:ascii="Times New Roman" w:hAnsi="Times New Roman"/>
          <w:sz w:val="24"/>
          <w:szCs w:val="24"/>
        </w:rPr>
        <w:t>Ведомость объемов конструктивных решений (элементов)</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и комплексов (видов) работ</w:t>
      </w:r>
    </w:p>
    <w:p>
      <w:pPr>
        <w:pStyle w:val="ConsPlusNormal"/>
        <w:jc w:val="center"/>
        <w:rPr>
          <w:rFonts w:ascii="Times New Roman" w:hAnsi="Times New Roman" w:cs="Times New Roman"/>
          <w:sz w:val="24"/>
          <w:szCs w:val="24"/>
        </w:rPr>
      </w:pPr>
      <w:r>
        <w:rPr>
          <w:rFonts w:cs="Times New Roman" w:ascii="Times New Roman" w:hAnsi="Times New Roman"/>
          <w:sz w:val="24"/>
          <w:szCs w:val="24"/>
          <w:u w:val="single"/>
        </w:rPr>
        <w:t>Нихалойская ГЭС</w:t>
      </w:r>
    </w:p>
    <w:p>
      <w:pPr>
        <w:pStyle w:val="ConsPlusNormal"/>
        <w:jc w:val="center"/>
        <w:rPr>
          <w:sz w:val="18"/>
          <w:szCs w:val="18"/>
        </w:rPr>
      </w:pPr>
      <w:r>
        <w:rPr>
          <w:rFonts w:cs="Times New Roman" w:ascii="Times New Roman" w:hAnsi="Times New Roman"/>
          <w:sz w:val="18"/>
          <w:szCs w:val="18"/>
        </w:rPr>
        <w:t>(наименование объекта)</w:t>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tbl>
      <w:tblPr>
        <w:tblW w:w="9464" w:type="dxa"/>
        <w:jc w:val="left"/>
        <w:tblInd w:w="67" w:type="dxa"/>
        <w:tblLayout w:type="fixed"/>
        <w:tblCellMar>
          <w:top w:w="102" w:type="dxa"/>
          <w:left w:w="62" w:type="dxa"/>
          <w:bottom w:w="102" w:type="dxa"/>
          <w:right w:w="62" w:type="dxa"/>
        </w:tblCellMar>
        <w:tblLook w:noVBand="0" w:val="0000" w:noHBand="0" w:lastColumn="0" w:firstColumn="0" w:lastRow="0" w:firstRow="0"/>
      </w:tblPr>
      <w:tblGrid>
        <w:gridCol w:w="529"/>
        <w:gridCol w:w="2190"/>
        <w:gridCol w:w="4025"/>
        <w:gridCol w:w="1370"/>
        <w:gridCol w:w="1350"/>
      </w:tblGrid>
      <w:tr>
        <w:trPr/>
        <w:tc>
          <w:tcPr>
            <w:tcW w:w="5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21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sz w:val="20"/>
              </w:rPr>
            </w:pPr>
            <w:r>
              <w:rPr>
                <w:rFonts w:cs="Times New Roman" w:ascii="Times New Roman" w:hAnsi="Times New Roman"/>
                <w:sz w:val="20"/>
              </w:rPr>
              <w:t>Номера сметных расчетов (смет) и позиций в сметных расчетах (сметах), относящиеся к соответствующим конструктивным решениям (элементам), комплексам (видам) работ</w:t>
            </w:r>
          </w:p>
        </w:tc>
        <w:tc>
          <w:tcPr>
            <w:tcW w:w="402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Наименование конструктивных решений (элементов), комплексов (видов) работ</w:t>
            </w:r>
          </w:p>
        </w:tc>
        <w:tc>
          <w:tcPr>
            <w:tcW w:w="13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Единица измерения</w:t>
            </w:r>
          </w:p>
        </w:tc>
        <w:tc>
          <w:tcPr>
            <w:tcW w:w="13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Количество (объем работ)</w:t>
            </w:r>
          </w:p>
        </w:tc>
      </w:tr>
      <w:tr>
        <w:trPr/>
        <w:tc>
          <w:tcPr>
            <w:tcW w:w="529"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1</w:t>
            </w:r>
          </w:p>
        </w:tc>
        <w:tc>
          <w:tcPr>
            <w:tcW w:w="219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2</w:t>
            </w:r>
          </w:p>
        </w:tc>
        <w:tc>
          <w:tcPr>
            <w:tcW w:w="4025"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3</w:t>
            </w:r>
          </w:p>
        </w:tc>
        <w:tc>
          <w:tcPr>
            <w:tcW w:w="137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4</w:t>
            </w:r>
          </w:p>
        </w:tc>
        <w:tc>
          <w:tcPr>
            <w:tcW w:w="1350" w:type="dxa"/>
            <w:tcBorders>
              <w:top w:val="single" w:sz="4" w:space="0" w:color="000000"/>
              <w:left w:val="single" w:sz="4" w:space="0" w:color="000000"/>
              <w:bottom w:val="single" w:sz="4" w:space="0" w:color="000000"/>
              <w:right w:val="single" w:sz="4" w:space="0" w:color="000000"/>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5</w:t>
            </w:r>
          </w:p>
        </w:tc>
      </w:tr>
      <w:tr>
        <w:trPr/>
        <w:tc>
          <w:tcPr>
            <w:tcW w:w="52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4"/>
                <w:szCs w:val="24"/>
              </w:rPr>
              <w:t>‍</w:t>
            </w:r>
            <w:r>
              <w:rPr>
                <w:rFonts w:cs="Times New Roman" w:ascii="Times New Roman" w:hAnsi="Times New Roman"/>
                <w:sz w:val="24"/>
                <w:szCs w:val="24"/>
              </w:rPr>
              <w:t>1</w:t>
            </w:r>
          </w:p>
        </w:tc>
        <w:tc>
          <w:tcPr>
            <w:tcW w:w="219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shd w:val="clear" w:color="auto" w:fill="FFFFFF"/>
              <w:tabs>
                <w:tab w:val="clear" w:pos="709"/>
                <w:tab w:val="left" w:pos="1134" w:leader="none"/>
              </w:tabs>
              <w:ind w:left="0" w:hanging="0"/>
              <w:jc w:val="both"/>
              <w:rPr>
                <w:bCs/>
                <w:color w:val="000000"/>
                <w:lang w:val="en-US"/>
              </w:rPr>
            </w:pPr>
            <w:r>
              <w:rPr/>
            </w:r>
          </w:p>
        </w:tc>
        <w:tc>
          <w:tcPr>
            <w:tcW w:w="4025" w:type="dxa"/>
            <w:tcBorders>
              <w:top w:val="single" w:sz="4" w:space="0" w:color="000000"/>
              <w:left w:val="single" w:sz="4" w:space="0" w:color="000000"/>
              <w:bottom w:val="single" w:sz="4" w:space="0" w:color="000000"/>
              <w:right w:val="single" w:sz="4" w:space="0" w:color="000000"/>
            </w:tcBorders>
          </w:tcPr>
          <w:p>
            <w:pPr>
              <w:pStyle w:val="ListParagraph"/>
              <w:widowControl w:val="false"/>
              <w:shd w:val="clear" w:color="auto" w:fill="FFFFFF"/>
              <w:tabs>
                <w:tab w:val="clear" w:pos="709"/>
                <w:tab w:val="left" w:pos="1134" w:leader="none"/>
              </w:tabs>
              <w:ind w:left="0" w:hanging="0"/>
              <w:jc w:val="both"/>
              <w:rPr>
                <w:rFonts w:eastAsia="Times New Roman" w:cs="Times New Roman"/>
                <w:bCs/>
                <w:color w:val="auto"/>
                <w:kern w:val="0"/>
                <w:sz w:val="24"/>
                <w:szCs w:val="24"/>
                <w:lang w:val="ru-RU" w:eastAsia="ru-RU" w:bidi="ar-SA"/>
              </w:rPr>
            </w:pPr>
            <w:r>
              <w:rPr/>
            </w:r>
          </w:p>
        </w:tc>
        <w:tc>
          <w:tcPr>
            <w:tcW w:w="137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13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r>
      <w:tr>
        <w:trPr/>
        <w:tc>
          <w:tcPr>
            <w:tcW w:w="529"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pPr>
            <w:r>
              <w:rPr>
                <w:rFonts w:cs="Times New Roman" w:ascii="Times New Roman" w:hAnsi="Times New Roman"/>
                <w:sz w:val="24"/>
                <w:szCs w:val="24"/>
              </w:rPr>
              <w:t>‍</w:t>
            </w:r>
            <w:r>
              <w:rPr>
                <w:rFonts w:cs="Times New Roman" w:ascii="Times New Roman" w:hAnsi="Times New Roman"/>
                <w:sz w:val="24"/>
                <w:szCs w:val="24"/>
              </w:rPr>
              <w:t>2</w:t>
            </w:r>
          </w:p>
        </w:tc>
        <w:tc>
          <w:tcPr>
            <w:tcW w:w="21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rFonts w:eastAsia="Calibri"/>
                <w:color w:val="000000"/>
                <w:sz w:val="24"/>
                <w:szCs w:val="24"/>
                <w:lang w:eastAsia="en-US"/>
                <w14:cntxtAlts>
                  <w14:cntxtAlts/>
                </w14:cntxtAlts>
              </w:rPr>
            </w:pPr>
            <w:r>
              <w:rPr/>
            </w:r>
          </w:p>
        </w:tc>
        <w:tc>
          <w:tcPr>
            <w:tcW w:w="40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34" w:hanging="0"/>
              <w:jc w:val="left"/>
              <w:rPr>
                <w:sz w:val="24"/>
                <w:szCs w:val="24"/>
              </w:rPr>
            </w:pPr>
            <w:r>
              <w:rPr/>
            </w:r>
          </w:p>
        </w:tc>
        <w:tc>
          <w:tcPr>
            <w:tcW w:w="137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c>
          <w:tcPr>
            <w:tcW w:w="1350"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
          </w:p>
        </w:tc>
      </w:tr>
    </w:tbl>
    <w:p>
      <w:pPr>
        <w:pStyle w:val="ConsPlusNormal"/>
        <w:jc w:val="both"/>
        <w:rPr>
          <w:rFonts w:ascii="Times New Roman" w:hAnsi="Times New Roman" w:cs="Times New Roman"/>
          <w:sz w:val="24"/>
          <w:szCs w:val="24"/>
        </w:rPr>
      </w:pPr>
      <w:r>
        <w:rPr>
          <w:rFonts w:cs="Times New Roman" w:ascii="Times New Roman" w:hAnsi="Times New Roman"/>
          <w:sz w:val="24"/>
          <w:szCs w:val="24"/>
        </w:rPr>
      </w:r>
    </w:p>
    <w:tbl>
      <w:tblPr>
        <w:tblW w:w="9524" w:type="dxa"/>
        <w:jc w:val="left"/>
        <w:tblInd w:w="62" w:type="dxa"/>
        <w:tblLayout w:type="fixed"/>
        <w:tblCellMar>
          <w:top w:w="102" w:type="dxa"/>
          <w:left w:w="62" w:type="dxa"/>
          <w:bottom w:w="102" w:type="dxa"/>
          <w:right w:w="62" w:type="dxa"/>
        </w:tblCellMar>
        <w:tblLook w:noVBand="0" w:val="0000" w:noHBand="0" w:lastColumn="0" w:firstColumn="0" w:lastRow="0" w:firstRow="0"/>
      </w:tblPr>
      <w:tblGrid>
        <w:gridCol w:w="1120"/>
        <w:gridCol w:w="152"/>
        <w:gridCol w:w="5444"/>
        <w:gridCol w:w="146"/>
        <w:gridCol w:w="946"/>
        <w:gridCol w:w="144"/>
        <w:gridCol w:w="1571"/>
      </w:tblGrid>
      <w:tr>
        <w:trPr/>
        <w:tc>
          <w:tcPr>
            <w:tcW w:w="1120" w:type="dxa"/>
            <w:tcBorders/>
          </w:tcPr>
          <w:p>
            <w:pPr>
              <w:pStyle w:val="ConsPlusNormal"/>
              <w:widowControl w:val="false"/>
              <w:rPr/>
            </w:pPr>
            <w:r>
              <w:rPr>
                <w:rFonts w:cs="Times New Roman" w:ascii="Times New Roman" w:hAnsi="Times New Roman"/>
                <w:sz w:val="24"/>
                <w:szCs w:val="24"/>
              </w:rPr>
              <w:t>Составил</w:t>
            </w:r>
          </w:p>
        </w:tc>
        <w:tc>
          <w:tcPr>
            <w:tcW w:w="152" w:type="dxa"/>
            <w:tcBorders/>
          </w:tcPr>
          <w:p>
            <w:pPr>
              <w:pStyle w:val="ConsPlusNormal"/>
              <w:widowControl w:val="false"/>
              <w:rPr>
                <w:rFonts w:ascii="Times New Roman" w:hAnsi="Times New Roman" w:cs="Times New Roman"/>
                <w:sz w:val="24"/>
                <w:szCs w:val="24"/>
              </w:rPr>
            </w:pPr>
            <w:r>
              <w:rPr>
                <w:rFonts w:cs="Times New Roman" w:ascii="Times New Roman" w:hAnsi="Times New Roman"/>
                <w:sz w:val="24"/>
                <w:szCs w:val="24"/>
              </w:rPr>
            </w:r>
          </w:p>
        </w:tc>
        <w:tc>
          <w:tcPr>
            <w:tcW w:w="5444" w:type="dxa"/>
            <w:tcBorders>
              <w:bottom w:val="single" w:sz="2" w:space="0" w:color="000000"/>
            </w:tcBorders>
          </w:tcPr>
          <w:p>
            <w:pPr>
              <w:pStyle w:val="ConsPlusNormal"/>
              <w:widowControl w:val="false"/>
              <w:rPr>
                <w:rFonts w:ascii="Times New Roman" w:hAnsi="Times New Roman" w:cs="Times New Roman"/>
                <w:szCs w:val="22"/>
              </w:rPr>
            </w:pPr>
            <w:r>
              <w:rPr>
                <w:rFonts w:cs="Times New Roman" w:ascii="Times New Roman" w:hAnsi="Times New Roman"/>
                <w:szCs w:val="22"/>
              </w:rPr>
            </w:r>
          </w:p>
        </w:tc>
        <w:tc>
          <w:tcPr>
            <w:tcW w:w="146" w:type="dxa"/>
            <w:tcBorders/>
          </w:tcPr>
          <w:p>
            <w:pPr>
              <w:pStyle w:val="ConsPlusNormal"/>
              <w:widowControl w:val="false"/>
              <w:rPr>
                <w:rFonts w:ascii="Times New Roman" w:hAnsi="Times New Roman" w:cs="Times New Roman"/>
                <w:szCs w:val="22"/>
              </w:rPr>
            </w:pPr>
            <w:r>
              <w:rPr>
                <w:rFonts w:cs="Times New Roman" w:ascii="Times New Roman" w:hAnsi="Times New Roman"/>
                <w:szCs w:val="22"/>
              </w:rPr>
            </w:r>
          </w:p>
        </w:tc>
        <w:tc>
          <w:tcPr>
            <w:tcW w:w="946" w:type="dxa"/>
            <w:tcBorders>
              <w:bottom w:val="single" w:sz="2" w:space="0" w:color="000000"/>
            </w:tcBorders>
          </w:tcPr>
          <w:p>
            <w:pPr>
              <w:pStyle w:val="ConsPlusNormal"/>
              <w:widowControl w:val="false"/>
              <w:rPr>
                <w:rFonts w:ascii="Times New Roman" w:hAnsi="Times New Roman" w:cs="Times New Roman"/>
                <w:szCs w:val="22"/>
              </w:rPr>
            </w:pPr>
            <w:r>
              <w:rPr>
                <w:rFonts w:cs="Times New Roman" w:ascii="Times New Roman" w:hAnsi="Times New Roman"/>
                <w:szCs w:val="22"/>
              </w:rPr>
            </w:r>
          </w:p>
        </w:tc>
        <w:tc>
          <w:tcPr>
            <w:tcW w:w="144" w:type="dxa"/>
            <w:tcBorders/>
          </w:tcPr>
          <w:p>
            <w:pPr>
              <w:pStyle w:val="ConsPlusNormal"/>
              <w:widowControl w:val="false"/>
              <w:rPr>
                <w:rFonts w:ascii="Times New Roman" w:hAnsi="Times New Roman" w:cs="Times New Roman"/>
                <w:szCs w:val="22"/>
              </w:rPr>
            </w:pPr>
            <w:r>
              <w:rPr>
                <w:rFonts w:cs="Times New Roman" w:ascii="Times New Roman" w:hAnsi="Times New Roman"/>
                <w:szCs w:val="22"/>
              </w:rPr>
            </w:r>
          </w:p>
        </w:tc>
        <w:tc>
          <w:tcPr>
            <w:tcW w:w="1571" w:type="dxa"/>
            <w:tcBorders>
              <w:bottom w:val="single" w:sz="2" w:space="0" w:color="000000"/>
            </w:tcBorders>
          </w:tcPr>
          <w:p>
            <w:pPr>
              <w:pStyle w:val="ConsPlusNormal"/>
              <w:widowControl w:val="false"/>
              <w:rPr>
                <w:rFonts w:ascii="Times New Roman" w:hAnsi="Times New Roman" w:cs="Times New Roman"/>
                <w:szCs w:val="22"/>
              </w:rPr>
            </w:pPr>
            <w:r>
              <w:rPr>
                <w:rFonts w:cs="Times New Roman" w:ascii="Times New Roman" w:hAnsi="Times New Roman"/>
                <w:szCs w:val="22"/>
              </w:rPr>
            </w:r>
          </w:p>
        </w:tc>
      </w:tr>
      <w:tr>
        <w:trPr>
          <w:trHeight w:val="90" w:hRule="atLeast"/>
        </w:trPr>
        <w:tc>
          <w:tcPr>
            <w:tcW w:w="1120" w:type="dxa"/>
            <w:tcBorders/>
          </w:tcPr>
          <w:p>
            <w:pPr>
              <w:pStyle w:val="ConsPlusNormal"/>
              <w:widowControl w:val="false"/>
              <w:rPr>
                <w:rFonts w:ascii="Times New Roman" w:hAnsi="Times New Roman" w:cs="Times New Roman"/>
                <w:sz w:val="16"/>
                <w:szCs w:val="16"/>
              </w:rPr>
            </w:pPr>
            <w:r>
              <w:rPr>
                <w:rFonts w:cs="Times New Roman" w:ascii="Times New Roman" w:hAnsi="Times New Roman"/>
                <w:sz w:val="16"/>
                <w:szCs w:val="16"/>
              </w:rPr>
            </w:r>
          </w:p>
        </w:tc>
        <w:tc>
          <w:tcPr>
            <w:tcW w:w="152" w:type="dxa"/>
            <w:tcBorders/>
          </w:tcPr>
          <w:p>
            <w:pPr>
              <w:pStyle w:val="ConsPlusNormal"/>
              <w:widowControl w:val="false"/>
              <w:rPr>
                <w:rFonts w:ascii="Times New Roman" w:hAnsi="Times New Roman" w:cs="Times New Roman"/>
                <w:sz w:val="16"/>
                <w:szCs w:val="16"/>
              </w:rPr>
            </w:pPr>
            <w:r>
              <w:rPr>
                <w:rFonts w:cs="Times New Roman" w:ascii="Times New Roman" w:hAnsi="Times New Roman"/>
                <w:sz w:val="16"/>
                <w:szCs w:val="16"/>
              </w:rPr>
            </w:r>
          </w:p>
        </w:tc>
        <w:tc>
          <w:tcPr>
            <w:tcW w:w="5444" w:type="dxa"/>
            <w:tcBorders/>
          </w:tcPr>
          <w:p>
            <w:pPr>
              <w:pStyle w:val="ConsPlusNormal"/>
              <w:widowControl w:val="false"/>
              <w:jc w:val="center"/>
              <w:rPr>
                <w:rFonts w:cs="Times New Roman"/>
              </w:rPr>
            </w:pPr>
            <w:r>
              <w:rPr>
                <w:rFonts w:cs="Times New Roman" w:ascii="Times New Roman" w:hAnsi="Times New Roman"/>
                <w:sz w:val="16"/>
                <w:szCs w:val="16"/>
              </w:rPr>
              <w:t>(должность)</w:t>
            </w:r>
          </w:p>
        </w:tc>
        <w:tc>
          <w:tcPr>
            <w:tcW w:w="146" w:type="dxa"/>
            <w:tcBorders/>
          </w:tcPr>
          <w:p>
            <w:pPr>
              <w:pStyle w:val="ConsPlusNormal"/>
              <w:widowControl w:val="false"/>
              <w:jc w:val="center"/>
              <w:rPr>
                <w:rFonts w:ascii="Times New Roman" w:hAnsi="Times New Roman" w:cs="Times New Roman"/>
                <w:sz w:val="16"/>
                <w:szCs w:val="16"/>
              </w:rPr>
            </w:pPr>
            <w:r>
              <w:rPr>
                <w:rFonts w:cs="Times New Roman" w:ascii="Times New Roman" w:hAnsi="Times New Roman"/>
                <w:sz w:val="16"/>
                <w:szCs w:val="16"/>
              </w:rPr>
            </w:r>
          </w:p>
        </w:tc>
        <w:tc>
          <w:tcPr>
            <w:tcW w:w="946" w:type="dxa"/>
            <w:tcBorders/>
          </w:tcPr>
          <w:p>
            <w:pPr>
              <w:pStyle w:val="ConsPlusNormal"/>
              <w:widowControl w:val="false"/>
              <w:jc w:val="center"/>
              <w:rPr>
                <w:rFonts w:ascii="Times New Roman" w:hAnsi="Times New Roman"/>
                <w:sz w:val="16"/>
                <w:szCs w:val="16"/>
              </w:rPr>
            </w:pPr>
            <w:r>
              <w:rPr>
                <w:rFonts w:ascii="Times New Roman" w:hAnsi="Times New Roman"/>
                <w:sz w:val="16"/>
                <w:szCs w:val="16"/>
              </w:rPr>
              <w:t>(подпись)</w:t>
            </w:r>
          </w:p>
        </w:tc>
        <w:tc>
          <w:tcPr>
            <w:tcW w:w="144" w:type="dxa"/>
            <w:tcBorders/>
          </w:tcPr>
          <w:p>
            <w:pPr>
              <w:pStyle w:val="ConsPlusNormal"/>
              <w:widowControl w:val="false"/>
              <w:jc w:val="center"/>
              <w:rPr>
                <w:rFonts w:ascii="Times New Roman" w:hAnsi="Times New Roman" w:cs="Times New Roman"/>
                <w:sz w:val="16"/>
                <w:szCs w:val="16"/>
              </w:rPr>
            </w:pPr>
            <w:r>
              <w:rPr>
                <w:rFonts w:cs="Times New Roman" w:ascii="Times New Roman" w:hAnsi="Times New Roman"/>
                <w:sz w:val="16"/>
                <w:szCs w:val="16"/>
              </w:rPr>
            </w:r>
          </w:p>
        </w:tc>
        <w:tc>
          <w:tcPr>
            <w:tcW w:w="1571" w:type="dxa"/>
            <w:tcBorders/>
          </w:tcPr>
          <w:p>
            <w:pPr>
              <w:pStyle w:val="ConsPlusNormal"/>
              <w:widowControl w:val="false"/>
              <w:jc w:val="center"/>
              <w:rPr>
                <w:rFonts w:ascii="Times New Roman" w:hAnsi="Times New Roman"/>
                <w:sz w:val="16"/>
                <w:szCs w:val="16"/>
              </w:rPr>
            </w:pPr>
            <w:r>
              <w:rPr>
                <w:rFonts w:ascii="Times New Roman" w:hAnsi="Times New Roman"/>
                <w:sz w:val="16"/>
                <w:szCs w:val="16"/>
              </w:rPr>
              <w:t>(инициалы, фамилия)</w:t>
            </w:r>
          </w:p>
        </w:tc>
      </w:tr>
      <w:tr>
        <w:trPr/>
        <w:tc>
          <w:tcPr>
            <w:tcW w:w="1120" w:type="dxa"/>
            <w:tcBorders/>
            <w:vAlign w:val="bottom"/>
          </w:tcPr>
          <w:p>
            <w:pPr>
              <w:pStyle w:val="ConsPlusNormal"/>
              <w:widowControl w:val="false"/>
              <w:rPr/>
            </w:pPr>
            <w:r>
              <w:rPr>
                <w:rFonts w:cs="Times New Roman" w:ascii="Times New Roman" w:hAnsi="Times New Roman"/>
                <w:sz w:val="24"/>
                <w:szCs w:val="24"/>
              </w:rPr>
              <w:t>Проверил</w:t>
            </w:r>
          </w:p>
        </w:tc>
        <w:tc>
          <w:tcPr>
            <w:tcW w:w="152" w:type="dxa"/>
            <w:tcBorders/>
            <w:vAlign w:val="bottom"/>
          </w:tcPr>
          <w:p>
            <w:pPr>
              <w:pStyle w:val="ConsPlusNormal"/>
              <w:widowControl w:val="false"/>
              <w:rPr>
                <w:rFonts w:ascii="Times New Roman" w:hAnsi="Times New Roman" w:cs="Times New Roman"/>
                <w:sz w:val="24"/>
                <w:szCs w:val="24"/>
              </w:rPr>
            </w:pPr>
            <w:r>
              <w:rPr>
                <w:rFonts w:cs="Times New Roman" w:ascii="Times New Roman" w:hAnsi="Times New Roman"/>
                <w:sz w:val="24"/>
                <w:szCs w:val="24"/>
              </w:rPr>
            </w:r>
          </w:p>
        </w:tc>
        <w:tc>
          <w:tcPr>
            <w:tcW w:w="5444" w:type="dxa"/>
            <w:tcBorders>
              <w:bottom w:val="single" w:sz="2" w:space="0" w:color="000000"/>
            </w:tcBorders>
            <w:vAlign w:val="bottom"/>
          </w:tcPr>
          <w:p>
            <w:pPr>
              <w:pStyle w:val="ConsPlusNormal"/>
              <w:widowControl w:val="false"/>
              <w:rPr>
                <w:rFonts w:ascii="Times New Roman" w:hAnsi="Times New Roman" w:cs="Times New Roman"/>
                <w:szCs w:val="22"/>
              </w:rPr>
            </w:pPr>
            <w:r>
              <w:rPr/>
            </w:r>
          </w:p>
        </w:tc>
        <w:tc>
          <w:tcPr>
            <w:tcW w:w="146" w:type="dxa"/>
            <w:tcBorders/>
            <w:vAlign w:val="bottom"/>
          </w:tcPr>
          <w:p>
            <w:pPr>
              <w:pStyle w:val="ConsPlusNormal"/>
              <w:widowControl w:val="false"/>
              <w:rPr>
                <w:rFonts w:ascii="Times New Roman" w:hAnsi="Times New Roman" w:cs="Times New Roman"/>
                <w:szCs w:val="22"/>
              </w:rPr>
            </w:pPr>
            <w:r>
              <w:rPr>
                <w:rFonts w:cs="Times New Roman" w:ascii="Times New Roman" w:hAnsi="Times New Roman"/>
                <w:szCs w:val="22"/>
              </w:rPr>
            </w:r>
          </w:p>
        </w:tc>
        <w:tc>
          <w:tcPr>
            <w:tcW w:w="946" w:type="dxa"/>
            <w:tcBorders>
              <w:bottom w:val="single" w:sz="2" w:space="0" w:color="000000"/>
            </w:tcBorders>
            <w:vAlign w:val="bottom"/>
          </w:tcPr>
          <w:p>
            <w:pPr>
              <w:pStyle w:val="ConsPlusNormal"/>
              <w:widowControl w:val="false"/>
              <w:rPr>
                <w:rFonts w:ascii="Times New Roman" w:hAnsi="Times New Roman" w:cs="Times New Roman"/>
                <w:szCs w:val="22"/>
              </w:rPr>
            </w:pPr>
            <w:r>
              <w:rPr>
                <w:rFonts w:cs="Times New Roman" w:ascii="Times New Roman" w:hAnsi="Times New Roman"/>
                <w:szCs w:val="22"/>
              </w:rPr>
            </w:r>
          </w:p>
        </w:tc>
        <w:tc>
          <w:tcPr>
            <w:tcW w:w="144" w:type="dxa"/>
            <w:tcBorders/>
            <w:vAlign w:val="bottom"/>
          </w:tcPr>
          <w:p>
            <w:pPr>
              <w:pStyle w:val="ConsPlusNormal"/>
              <w:widowControl w:val="false"/>
              <w:rPr>
                <w:rFonts w:ascii="Times New Roman" w:hAnsi="Times New Roman" w:cs="Times New Roman"/>
                <w:szCs w:val="22"/>
              </w:rPr>
            </w:pPr>
            <w:r>
              <w:rPr>
                <w:rFonts w:cs="Times New Roman" w:ascii="Times New Roman" w:hAnsi="Times New Roman"/>
                <w:szCs w:val="22"/>
              </w:rPr>
            </w:r>
          </w:p>
        </w:tc>
        <w:tc>
          <w:tcPr>
            <w:tcW w:w="1571" w:type="dxa"/>
            <w:tcBorders>
              <w:bottom w:val="single" w:sz="2" w:space="0" w:color="000000"/>
            </w:tcBorders>
            <w:vAlign w:val="bottom"/>
          </w:tcPr>
          <w:p>
            <w:pPr>
              <w:pStyle w:val="ConsPlusNormal"/>
              <w:widowControl w:val="false"/>
              <w:rPr>
                <w:rFonts w:ascii="Times New Roman" w:hAnsi="Times New Roman" w:cs="Times New Roman"/>
                <w:szCs w:val="22"/>
              </w:rPr>
            </w:pPr>
            <w:r>
              <w:rPr/>
            </w:r>
          </w:p>
        </w:tc>
      </w:tr>
      <w:tr>
        <w:trPr>
          <w:trHeight w:val="90" w:hRule="atLeast"/>
        </w:trPr>
        <w:tc>
          <w:tcPr>
            <w:tcW w:w="1120" w:type="dxa"/>
            <w:tcBorders/>
          </w:tcPr>
          <w:p>
            <w:pPr>
              <w:pStyle w:val="ConsPlusNormal"/>
              <w:widowControl w:val="false"/>
              <w:rPr>
                <w:rFonts w:ascii="Times New Roman" w:hAnsi="Times New Roman" w:cs="Times New Roman"/>
                <w:sz w:val="16"/>
                <w:szCs w:val="16"/>
              </w:rPr>
            </w:pPr>
            <w:r>
              <w:rPr>
                <w:rFonts w:cs="Times New Roman" w:ascii="Times New Roman" w:hAnsi="Times New Roman"/>
                <w:sz w:val="16"/>
                <w:szCs w:val="16"/>
              </w:rPr>
            </w:r>
          </w:p>
        </w:tc>
        <w:tc>
          <w:tcPr>
            <w:tcW w:w="152" w:type="dxa"/>
            <w:tcBorders/>
          </w:tcPr>
          <w:p>
            <w:pPr>
              <w:pStyle w:val="ConsPlusNormal"/>
              <w:widowControl w:val="false"/>
              <w:rPr>
                <w:rFonts w:ascii="Times New Roman" w:hAnsi="Times New Roman" w:cs="Times New Roman"/>
                <w:sz w:val="16"/>
                <w:szCs w:val="16"/>
              </w:rPr>
            </w:pPr>
            <w:r>
              <w:rPr>
                <w:rFonts w:cs="Times New Roman" w:ascii="Times New Roman" w:hAnsi="Times New Roman"/>
                <w:sz w:val="16"/>
                <w:szCs w:val="16"/>
              </w:rPr>
            </w:r>
          </w:p>
        </w:tc>
        <w:tc>
          <w:tcPr>
            <w:tcW w:w="5444" w:type="dxa"/>
            <w:tcBorders/>
          </w:tcPr>
          <w:p>
            <w:pPr>
              <w:pStyle w:val="ConsPlusNormal"/>
              <w:widowControl w:val="false"/>
              <w:jc w:val="center"/>
              <w:rPr>
                <w:rFonts w:ascii="Times New Roman" w:hAnsi="Times New Roman" w:cs="Times New Roman"/>
                <w:sz w:val="24"/>
                <w:szCs w:val="24"/>
              </w:rPr>
            </w:pPr>
            <w:r>
              <w:rPr>
                <w:rFonts w:cs="Times New Roman" w:ascii="Times New Roman" w:hAnsi="Times New Roman"/>
                <w:sz w:val="16"/>
                <w:szCs w:val="16"/>
              </w:rPr>
              <w:t>(должность)</w:t>
            </w:r>
          </w:p>
        </w:tc>
        <w:tc>
          <w:tcPr>
            <w:tcW w:w="146" w:type="dxa"/>
            <w:tcBorders/>
          </w:tcPr>
          <w:p>
            <w:pPr>
              <w:pStyle w:val="ConsPlusNormal"/>
              <w:widowControl w:val="false"/>
              <w:jc w:val="center"/>
              <w:rPr>
                <w:rFonts w:ascii="Times New Roman" w:hAnsi="Times New Roman" w:cs="Times New Roman"/>
                <w:sz w:val="16"/>
                <w:szCs w:val="16"/>
              </w:rPr>
            </w:pPr>
            <w:r>
              <w:rPr>
                <w:rFonts w:cs="Times New Roman" w:ascii="Times New Roman" w:hAnsi="Times New Roman"/>
                <w:sz w:val="16"/>
                <w:szCs w:val="16"/>
              </w:rPr>
            </w:r>
          </w:p>
        </w:tc>
        <w:tc>
          <w:tcPr>
            <w:tcW w:w="946" w:type="dxa"/>
            <w:tcBorders/>
          </w:tcPr>
          <w:p>
            <w:pPr>
              <w:pStyle w:val="ConsPlusNormal"/>
              <w:widowControl w:val="false"/>
              <w:jc w:val="center"/>
              <w:rPr>
                <w:rFonts w:ascii="Times New Roman" w:hAnsi="Times New Roman"/>
                <w:sz w:val="16"/>
                <w:szCs w:val="16"/>
              </w:rPr>
            </w:pPr>
            <w:r>
              <w:rPr>
                <w:rFonts w:ascii="Times New Roman" w:hAnsi="Times New Roman"/>
                <w:sz w:val="16"/>
                <w:szCs w:val="16"/>
              </w:rPr>
              <w:t>(подпись)</w:t>
            </w:r>
          </w:p>
        </w:tc>
        <w:tc>
          <w:tcPr>
            <w:tcW w:w="144" w:type="dxa"/>
            <w:tcBorders/>
          </w:tcPr>
          <w:p>
            <w:pPr>
              <w:pStyle w:val="ConsPlusNormal"/>
              <w:widowControl w:val="false"/>
              <w:jc w:val="center"/>
              <w:rPr>
                <w:rFonts w:ascii="Times New Roman" w:hAnsi="Times New Roman" w:cs="Times New Roman"/>
                <w:sz w:val="16"/>
                <w:szCs w:val="16"/>
              </w:rPr>
            </w:pPr>
            <w:r>
              <w:rPr>
                <w:rFonts w:cs="Times New Roman" w:ascii="Times New Roman" w:hAnsi="Times New Roman"/>
                <w:sz w:val="16"/>
                <w:szCs w:val="16"/>
              </w:rPr>
            </w:r>
          </w:p>
        </w:tc>
        <w:tc>
          <w:tcPr>
            <w:tcW w:w="1571" w:type="dxa"/>
            <w:tcBorders/>
          </w:tcPr>
          <w:p>
            <w:pPr>
              <w:pStyle w:val="ConsPlusNormal"/>
              <w:widowControl w:val="false"/>
              <w:jc w:val="center"/>
              <w:rPr>
                <w:rFonts w:ascii="Times New Roman" w:hAnsi="Times New Roman"/>
                <w:sz w:val="16"/>
                <w:szCs w:val="16"/>
              </w:rPr>
            </w:pPr>
            <w:r>
              <w:rPr>
                <w:rFonts w:ascii="Times New Roman" w:hAnsi="Times New Roman"/>
                <w:sz w:val="16"/>
                <w:szCs w:val="16"/>
              </w:rPr>
              <w:t>(инициалы, фамилия)</w:t>
            </w:r>
          </w:p>
        </w:tc>
      </w:tr>
    </w:tbl>
    <w:p>
      <w:pPr>
        <w:pStyle w:val="ConsPlusNormal"/>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ind w:hanging="0"/>
        <w:jc w:val="center"/>
        <w:rPr>
          <w:b/>
          <w:sz w:val="24"/>
          <w:szCs w:val="24"/>
        </w:rPr>
      </w:pPr>
      <w:r>
        <w:rPr>
          <w:b/>
          <w:sz w:val="24"/>
          <w:szCs w:val="24"/>
        </w:rPr>
        <w:t>ПОДПИСИ СТОРОН:</w:t>
      </w:r>
    </w:p>
    <w:p>
      <w:pPr>
        <w:pStyle w:val="Normal"/>
        <w:widowControl w:val="false"/>
        <w:spacing w:lineRule="auto" w:line="240"/>
        <w:ind w:hanging="0"/>
        <w:jc w:val="center"/>
        <w:rPr>
          <w:sz w:val="24"/>
          <w:szCs w:val="24"/>
        </w:rPr>
      </w:pPr>
      <w:r>
        <w:rPr>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p>
        </w:tc>
        <w:tc>
          <w:tcPr>
            <w:tcW w:w="4699" w:type="dxa"/>
            <w:tcBorders/>
          </w:tcPr>
          <w:p>
            <w:pPr>
              <w:pStyle w:val="Normal"/>
              <w:widowControl w:val="false"/>
              <w:suppressAutoHyphens w:val="true"/>
              <w:bidi w:val="0"/>
              <w:spacing w:lineRule="auto" w:line="240" w:before="0" w:after="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r>
              <w:rPr>
                <w:sz w:val="24"/>
              </w:rPr>
              <w:t xml:space="preserve">_______________ / </w:t>
            </w:r>
            <w:r>
              <w:rPr>
                <w:sz w:val="24"/>
              </w:rPr>
              <w:t>_____________</w:t>
            </w:r>
          </w:p>
        </w:tc>
        <w:tc>
          <w:tcPr>
            <w:tcW w:w="4699" w:type="dxa"/>
            <w:tcBorders/>
          </w:tcPr>
          <w:p>
            <w:pPr>
              <w:pStyle w:val="Normal"/>
              <w:widowControl w:val="false"/>
              <w:spacing w:lineRule="auto" w:line="240"/>
              <w:ind w:hanging="0"/>
              <w:jc w:val="left"/>
              <w:rPr>
                <w:sz w:val="24"/>
              </w:rPr>
            </w:pPr>
            <w:r>
              <w:rPr/>
              <w:t xml:space="preserve">_______________ / </w:t>
            </w:r>
            <w:r>
              <w:rPr/>
              <w:t>_____________</w:t>
            </w:r>
          </w:p>
        </w:tc>
      </w:tr>
    </w:tbl>
    <w:p>
      <w:pPr>
        <w:pStyle w:val="Normal"/>
        <w:spacing w:lineRule="auto" w:line="240"/>
        <w:ind w:firstLine="4820"/>
        <w:jc w:val="left"/>
        <w:rPr>
          <w:sz w:val="22"/>
          <w:szCs w:val="22"/>
        </w:rPr>
      </w:pPr>
      <w:r>
        <w:rPr>
          <w:sz w:val="22"/>
          <w:szCs w:val="22"/>
        </w:rPr>
      </w:r>
      <w:r>
        <w:br w:type="page"/>
      </w:r>
    </w:p>
    <w:p>
      <w:pPr>
        <w:pStyle w:val="Normal"/>
        <w:spacing w:lineRule="auto" w:line="240"/>
        <w:ind w:firstLine="4820"/>
        <w:jc w:val="right"/>
        <w:rPr/>
      </w:pPr>
      <w:r>
        <w:rPr>
          <w:sz w:val="22"/>
          <w:szCs w:val="22"/>
        </w:rPr>
        <w:t>Приложение № 5.1</w:t>
      </w:r>
    </w:p>
    <w:p>
      <w:pPr>
        <w:pStyle w:val="Normal"/>
        <w:spacing w:lineRule="auto" w:line="240"/>
        <w:ind w:firstLine="4820"/>
        <w:jc w:val="right"/>
        <w:rPr/>
      </w:pPr>
      <w:r>
        <w:rPr>
          <w:sz w:val="22"/>
          <w:szCs w:val="22"/>
        </w:rPr>
        <w:t>к Договору подряда</w:t>
      </w:r>
    </w:p>
    <w:p>
      <w:pPr>
        <w:pStyle w:val="Normal"/>
        <w:spacing w:lineRule="auto" w:line="240"/>
        <w:ind w:firstLine="4820"/>
        <w:jc w:val="right"/>
        <w:rPr/>
      </w:pPr>
      <w:r>
        <w:rPr>
          <w:sz w:val="22"/>
          <w:szCs w:val="22"/>
        </w:rPr>
        <w:t xml:space="preserve">от «____» __________ 2026 г. № ________ </w:t>
      </w:r>
    </w:p>
    <w:p>
      <w:pPr>
        <w:pStyle w:val="Title"/>
        <w:shd w:val="clear" w:color="auto" w:fill="auto"/>
        <w:ind w:hanging="0"/>
        <w:jc w:val="left"/>
        <w:rPr>
          <w:i/>
          <w:i/>
        </w:rPr>
      </w:pPr>
      <w:r>
        <w:rPr>
          <w:i/>
        </w:rPr>
      </w:r>
    </w:p>
    <w:p>
      <w:pPr>
        <w:pStyle w:val="Title"/>
        <w:shd w:val="clear" w:color="auto" w:fill="auto"/>
        <w:ind w:hanging="0"/>
        <w:jc w:val="left"/>
        <w:rPr>
          <w:i/>
          <w:i/>
        </w:rPr>
      </w:pPr>
      <w:r>
        <w:rPr>
          <w:i/>
        </w:rPr>
      </w:r>
    </w:p>
    <w:p>
      <w:pPr>
        <w:pStyle w:val="Title"/>
        <w:shd w:val="clear" w:color="auto" w:fill="auto"/>
        <w:ind w:hanging="0"/>
        <w:rPr>
          <w:bCs/>
          <w:sz w:val="24"/>
          <w:szCs w:val="24"/>
        </w:rPr>
      </w:pPr>
      <w:r>
        <w:rPr>
          <w:iCs/>
          <w:sz w:val="24"/>
          <w:szCs w:val="24"/>
        </w:rPr>
        <w:t>ФОРМА</w:t>
      </w:r>
    </w:p>
    <w:p>
      <w:pPr>
        <w:pStyle w:val="Title"/>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абот</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noVBand="1" w:val="04a0"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b w:val="false"/>
                <w:i/>
                <w:i/>
                <w:iCs/>
                <w:lang w:val="ru-RU"/>
              </w:rPr>
            </w:pPr>
            <w:r>
              <w:rPr>
                <w:b w:val="false"/>
                <w:bCs/>
              </w:rPr>
              <w:t xml:space="preserve">сдачи-приемки места производства </w:t>
            </w:r>
            <w:r>
              <w:rPr>
                <w:b w:val="false"/>
                <w:bCs/>
                <w:lang w:val="ru-RU"/>
              </w:rPr>
              <w:t>Р</w:t>
            </w:r>
            <w:r>
              <w:rPr>
                <w:b w:val="false"/>
                <w:bCs/>
              </w:rPr>
              <w:t>абот</w:t>
            </w:r>
          </w:p>
          <w:p>
            <w:pPr>
              <w:pStyle w:val="Normal"/>
              <w:widowControl w:val="false"/>
              <w:spacing w:lineRule="auto" w:line="240"/>
              <w:rPr>
                <w:sz w:val="22"/>
              </w:rPr>
            </w:pPr>
            <w:r>
              <w:rPr>
                <w:sz w:val="22"/>
              </w:rPr>
            </w:r>
          </w:p>
          <w:p>
            <w:pPr>
              <w:pStyle w:val="Normal"/>
              <w:widowControl w:val="false"/>
              <w:spacing w:lineRule="auto" w:line="240"/>
              <w:ind w:hanging="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и</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Претензии Подрядчик</w:t>
            </w:r>
            <w:r>
              <w:rPr>
                <w:sz w:val="22"/>
                <w:szCs w:val="22"/>
              </w:rPr>
              <w:t>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rPr>
            </w:pPr>
            <w:r>
              <w:rPr>
                <w:i/>
                <w:sz w:val="22"/>
              </w:rPr>
              <w:t>(указать конкретные претензии или указать «не имеются»)</w:t>
            </w:r>
            <w:r>
              <w:rPr>
                <w:sz w:val="22"/>
              </w:rPr>
              <w:t>.</w:t>
            </w:r>
          </w:p>
          <w:p>
            <w:pPr>
              <w:pStyle w:val="Normal"/>
              <w:widowControl w:val="false"/>
              <w:suppressAutoHyphens w:val="true"/>
              <w:bidi w:val="0"/>
              <w:spacing w:lineRule="auto" w:line="240" w:before="0" w:after="0"/>
              <w:ind w:firstLine="567"/>
              <w:jc w:val="both"/>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520"/>
              <w:gridCol w:w="4520"/>
            </w:tblGrid>
            <w:tr>
              <w:trPr/>
              <w:tc>
                <w:tcPr>
                  <w:tcW w:w="4520" w:type="dxa"/>
                  <w:tcBorders/>
                </w:tcPr>
                <w:p>
                  <w:pPr>
                    <w:pStyle w:val="Normal"/>
                    <w:widowControl w:val="false"/>
                    <w:spacing w:lineRule="auto" w:line="240"/>
                    <w:ind w:hanging="0"/>
                    <w:rPr>
                      <w:sz w:val="22"/>
                    </w:rPr>
                  </w:pPr>
                  <w:r>
                    <w:rPr>
                      <w:sz w:val="22"/>
                    </w:rPr>
                    <w:t>Заказчик:</w:t>
                  </w:r>
                </w:p>
              </w:tc>
              <w:tc>
                <w:tcPr>
                  <w:tcW w:w="4520" w:type="dxa"/>
                  <w:tcBorders/>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spacing w:before="0" w:after="120"/>
              <w:ind w:hanging="0"/>
              <w:jc w:val="left"/>
              <w:rPr>
                <w:i/>
                <w:i/>
                <w:iCs/>
              </w:rPr>
            </w:pPr>
            <w:r>
              <w:rPr>
                <w:i/>
                <w:iCs/>
              </w:rPr>
            </w:r>
          </w:p>
        </w:tc>
      </w:tr>
    </w:tbl>
    <w:p>
      <w:pPr>
        <w:pStyle w:val="Normal"/>
        <w:widowControl/>
        <w:suppressAutoHyphens w:val="true"/>
        <w:bidi w:val="0"/>
        <w:spacing w:lineRule="auto" w:line="240" w:before="0" w:after="0"/>
        <w:ind w:hanging="0"/>
        <w:jc w:val="both"/>
        <w:rPr>
          <w:sz w:val="22"/>
          <w:szCs w:val="22"/>
        </w:rPr>
      </w:pPr>
      <w:r>
        <w:rPr>
          <w:sz w:val="22"/>
          <w:szCs w:val="22"/>
        </w:rPr>
      </w:r>
    </w:p>
    <w:p>
      <w:pPr>
        <w:pStyle w:val="Normal"/>
        <w:spacing w:lineRule="auto" w:line="240"/>
        <w:ind w:hanging="0"/>
        <w:rPr>
          <w:sz w:val="22"/>
          <w:szCs w:val="22"/>
        </w:rPr>
      </w:pPr>
      <w:r>
        <w:rPr>
          <w:sz w:val="22"/>
          <w:szCs w:val="22"/>
        </w:rPr>
      </w:r>
    </w:p>
    <w:p>
      <w:pPr>
        <w:pStyle w:val="Normal"/>
        <w:widowControl w:val="false"/>
        <w:spacing w:lineRule="auto" w:line="240"/>
        <w:ind w:hanging="0"/>
        <w:jc w:val="center"/>
        <w:rPr>
          <w:b/>
          <w:sz w:val="24"/>
          <w:szCs w:val="24"/>
        </w:rPr>
      </w:pPr>
      <w:r>
        <w:rPr>
          <w:b/>
          <w:sz w:val="24"/>
          <w:szCs w:val="24"/>
        </w:rPr>
        <w:t>ПОДПИСИ СТОРОН:</w:t>
      </w:r>
    </w:p>
    <w:p>
      <w:pPr>
        <w:pStyle w:val="Normal"/>
        <w:widowControl w:val="false"/>
        <w:spacing w:lineRule="auto" w:line="240"/>
        <w:ind w:hanging="0"/>
        <w:jc w:val="center"/>
        <w:rPr>
          <w:sz w:val="24"/>
          <w:szCs w:val="24"/>
        </w:rPr>
      </w:pPr>
      <w:r>
        <w:rPr>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p>
        </w:tc>
        <w:tc>
          <w:tcPr>
            <w:tcW w:w="4699" w:type="dxa"/>
            <w:tcBorders/>
          </w:tcPr>
          <w:p>
            <w:pPr>
              <w:pStyle w:val="Normal"/>
              <w:widowControl w:val="false"/>
              <w:suppressAutoHyphens w:val="true"/>
              <w:bidi w:val="0"/>
              <w:spacing w:lineRule="auto" w:line="240" w:before="0" w:after="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r>
          </w:p>
          <w:p>
            <w:pPr>
              <w:pStyle w:val="Normal"/>
              <w:widowControl w:val="false"/>
              <w:spacing w:lineRule="auto" w:line="240"/>
              <w:ind w:hanging="0"/>
              <w:jc w:val="left"/>
              <w:rPr>
                <w:sz w:val="24"/>
              </w:rPr>
            </w:pPr>
            <w:r>
              <w:rPr>
                <w:sz w:val="24"/>
              </w:rPr>
              <w:t>‍</w:t>
            </w:r>
            <w:r>
              <w:rPr>
                <w:sz w:val="24"/>
              </w:rPr>
              <w:t xml:space="preserve">_‍_______________ / </w:t>
            </w:r>
            <w:r>
              <w:rPr>
                <w:sz w:val="24"/>
              </w:rPr>
              <w:t>_____________</w:t>
            </w:r>
          </w:p>
        </w:tc>
        <w:tc>
          <w:tcPr>
            <w:tcW w:w="4699" w:type="dxa"/>
            <w:tcBorders/>
          </w:tcPr>
          <w:p>
            <w:pPr>
              <w:pStyle w:val="Normal"/>
              <w:widowControl w:val="false"/>
              <w:spacing w:lineRule="auto" w:line="240"/>
              <w:ind w:hanging="0"/>
              <w:jc w:val="left"/>
              <w:rPr>
                <w:sz w:val="24"/>
              </w:rPr>
            </w:pPr>
            <w:r>
              <w:rPr/>
              <w:t>‍</w:t>
            </w:r>
          </w:p>
          <w:p>
            <w:pPr>
              <w:pStyle w:val="Normal"/>
              <w:widowControl w:val="false"/>
              <w:spacing w:lineRule="auto" w:line="240"/>
              <w:ind w:hanging="0"/>
              <w:jc w:val="left"/>
              <w:rPr>
                <w:sz w:val="24"/>
              </w:rPr>
            </w:pPr>
            <w:r>
              <w:rPr/>
              <w:t xml:space="preserve">_______________ / </w:t>
            </w:r>
            <w:r>
              <w:rPr/>
              <w:t>_____________</w:t>
            </w:r>
          </w:p>
        </w:tc>
      </w:tr>
    </w:tbl>
    <w:p>
      <w:pPr>
        <w:pStyle w:val="Normal"/>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widowControl/>
        <w:suppressAutoHyphens w:val="true"/>
        <w:bidi w:val="0"/>
        <w:spacing w:lineRule="auto" w:line="259" w:before="0" w:after="160"/>
        <w:ind w:hanging="0"/>
        <w:jc w:val="left"/>
        <w:rPr>
          <w:sz w:val="22"/>
          <w:szCs w:val="22"/>
        </w:rPr>
      </w:pPr>
      <w:r>
        <w:rPr>
          <w:sz w:val="22"/>
          <w:szCs w:val="22"/>
        </w:rPr>
      </w:r>
      <w:r>
        <w:br w:type="page"/>
      </w:r>
    </w:p>
    <w:p>
      <w:pPr>
        <w:pStyle w:val="Normal"/>
        <w:spacing w:lineRule="auto" w:line="240"/>
        <w:ind w:firstLine="4820"/>
        <w:jc w:val="right"/>
        <w:rPr/>
      </w:pPr>
      <w:r>
        <w:rPr>
          <w:sz w:val="22"/>
          <w:szCs w:val="22"/>
        </w:rPr>
        <w:t>Приложение № 5.2</w:t>
      </w:r>
    </w:p>
    <w:p>
      <w:pPr>
        <w:pStyle w:val="Normal"/>
        <w:spacing w:lineRule="auto" w:line="240"/>
        <w:ind w:firstLine="4820"/>
        <w:jc w:val="right"/>
        <w:rPr/>
      </w:pPr>
      <w:r>
        <w:rPr>
          <w:sz w:val="22"/>
          <w:szCs w:val="22"/>
        </w:rPr>
        <w:t>к Договору подряда</w:t>
      </w:r>
    </w:p>
    <w:p>
      <w:pPr>
        <w:pStyle w:val="Normal"/>
        <w:spacing w:lineRule="auto" w:line="240"/>
        <w:ind w:firstLine="4820"/>
        <w:jc w:val="right"/>
        <w:rPr/>
      </w:pPr>
      <w:r>
        <w:rPr>
          <w:sz w:val="22"/>
          <w:szCs w:val="22"/>
        </w:rPr>
        <w:t xml:space="preserve">от «____» __________ 2026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Title"/>
        <w:shd w:val="clear" w:color="auto" w:fill="auto"/>
        <w:ind w:hanging="0"/>
        <w:rPr>
          <w:b w:val="false"/>
          <w:sz w:val="24"/>
        </w:rPr>
      </w:pPr>
      <w:r>
        <w:rPr>
          <w:sz w:val="24"/>
        </w:rPr>
        <w:t>ФОРМА</w:t>
      </w:r>
    </w:p>
    <w:p>
      <w:pPr>
        <w:pStyle w:val="Title"/>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noVBand="1" w:val="04a0"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spacing w:lineRule="auto" w:line="240"/>
              <w:rPr/>
            </w:pPr>
            <w:r>
              <w:rPr/>
            </w:r>
          </w:p>
          <w:p>
            <w:pPr>
              <w:pStyle w:val="Normal"/>
              <w:widowControl w:val="false"/>
              <w:spacing w:lineRule="auto" w:line="240"/>
              <w:ind w:hanging="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spacing w:lineRule="auto" w:line="240"/>
              <w:ind w:hanging="0"/>
              <w:rPr>
                <w:bCs/>
                <w:sz w:val="22"/>
                <w:szCs w:val="22"/>
              </w:rPr>
            </w:pPr>
            <w:r>
              <w:rPr>
                <w:bCs/>
                <w:sz w:val="22"/>
                <w:szCs w:val="22"/>
              </w:rPr>
              <w:t xml:space="preserve">__________________________________________________________________________ </w:t>
            </w:r>
          </w:p>
          <w:p>
            <w:pPr>
              <w:pStyle w:val="Normal"/>
              <w:widowControl w:val="false"/>
              <w:spacing w:lineRule="auto" w:line="240"/>
              <w:ind w:hanging="0"/>
              <w:rPr>
                <w:bCs/>
                <w:sz w:val="22"/>
                <w:szCs w:val="22"/>
              </w:rPr>
            </w:pPr>
            <w:r>
              <w:rPr>
                <w:bCs/>
                <w:sz w:val="22"/>
                <w:szCs w:val="22"/>
              </w:rPr>
              <w:t>__________________________________________________________________________</w:t>
            </w:r>
          </w:p>
          <w:p>
            <w:pPr>
              <w:pStyle w:val="Normal"/>
              <w:widowControl w:val="false"/>
              <w:spacing w:lineRule="auto" w:line="240"/>
              <w:ind w:hanging="0"/>
              <w:rPr>
                <w:bCs/>
                <w:sz w:val="22"/>
                <w:szCs w:val="22"/>
              </w:rPr>
            </w:pPr>
            <w:r>
              <w:rPr>
                <w:bCs/>
                <w:sz w:val="22"/>
                <w:szCs w:val="22"/>
              </w:rPr>
              <w:t>__________________________________________________________________________</w:t>
            </w:r>
          </w:p>
          <w:p>
            <w:pPr>
              <w:pStyle w:val="Normal"/>
              <w:widowControl w:val="false"/>
              <w:spacing w:lineRule="auto" w:line="240"/>
              <w:ind w:hanging="0"/>
              <w:rPr>
                <w:sz w:val="20"/>
                <w:szCs w:val="20"/>
              </w:rPr>
            </w:pPr>
            <w:r>
              <w:rPr>
                <w:sz w:val="20"/>
                <w:szCs w:val="20"/>
              </w:rPr>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ind w:hanging="0"/>
              <w:jc w:val="left"/>
              <w:rPr>
                <w:i/>
                <w:i/>
                <w:iCs/>
              </w:rPr>
            </w:pPr>
            <w:r>
              <w:rPr>
                <w:i/>
                <w:iCs/>
              </w:rPr>
            </w:r>
          </w:p>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p>
      <w:pPr>
        <w:pStyle w:val="Normal"/>
        <w:widowControl w:val="false"/>
        <w:spacing w:lineRule="auto" w:line="240"/>
        <w:ind w:hanging="0"/>
        <w:jc w:val="center"/>
        <w:rPr>
          <w:b/>
          <w:sz w:val="24"/>
          <w:szCs w:val="24"/>
        </w:rPr>
      </w:pPr>
      <w:r>
        <w:rPr>
          <w:b/>
          <w:sz w:val="24"/>
          <w:szCs w:val="24"/>
        </w:rPr>
        <w:t>ПОДПИСИ СТОРОН:</w:t>
      </w:r>
    </w:p>
    <w:p>
      <w:pPr>
        <w:pStyle w:val="Normal"/>
        <w:widowControl w:val="false"/>
        <w:spacing w:lineRule="auto" w:line="240"/>
        <w:ind w:hanging="0"/>
        <w:jc w:val="center"/>
        <w:rPr>
          <w:sz w:val="24"/>
          <w:szCs w:val="24"/>
        </w:rPr>
      </w:pPr>
      <w:r>
        <w:rPr>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r>
          </w:p>
        </w:tc>
        <w:tc>
          <w:tcPr>
            <w:tcW w:w="4699" w:type="dxa"/>
            <w:tcBorders/>
          </w:tcPr>
          <w:p>
            <w:pPr>
              <w:pStyle w:val="Normal"/>
              <w:widowControl w:val="false"/>
              <w:suppressAutoHyphens w:val="true"/>
              <w:bidi w:val="0"/>
              <w:spacing w:lineRule="auto" w:line="240" w:before="0" w:after="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r>
              <w:rPr>
                <w:sz w:val="24"/>
              </w:rPr>
              <w:t xml:space="preserve">_______________ / </w:t>
            </w:r>
            <w:r>
              <w:rPr>
                <w:sz w:val="24"/>
              </w:rPr>
              <w:t>_____________</w:t>
            </w:r>
          </w:p>
        </w:tc>
        <w:tc>
          <w:tcPr>
            <w:tcW w:w="4699" w:type="dxa"/>
            <w:tcBorders/>
          </w:tcPr>
          <w:p>
            <w:pPr>
              <w:pStyle w:val="Normal"/>
              <w:widowControl w:val="false"/>
              <w:spacing w:lineRule="auto" w:line="240"/>
              <w:ind w:hanging="0"/>
              <w:jc w:val="left"/>
              <w:rPr>
                <w:sz w:val="24"/>
              </w:rPr>
            </w:pPr>
            <w:r>
              <w:rPr/>
              <w:t>‍</w:t>
            </w:r>
            <w:r>
              <w:rPr/>
              <w:t xml:space="preserve">_______________ / </w:t>
            </w:r>
            <w:r>
              <w:rPr/>
              <w:t>_____________</w:t>
            </w:r>
          </w:p>
        </w:tc>
      </w:tr>
    </w:tbl>
    <w:p>
      <w:pPr>
        <w:pStyle w:val="Normal"/>
        <w:ind w:hanging="0"/>
        <w:rPr>
          <w:sz w:val="22"/>
          <w:szCs w:val="22"/>
        </w:rPr>
      </w:pPr>
      <w:r>
        <w:rPr>
          <w:sz w:val="22"/>
          <w:szCs w:val="22"/>
        </w:rPr>
      </w:r>
    </w:p>
    <w:p>
      <w:pPr>
        <w:pStyle w:val="Normal"/>
        <w:spacing w:lineRule="auto" w:line="240"/>
        <w:rPr>
          <w:sz w:val="24"/>
          <w:szCs w:val="24"/>
        </w:rPr>
      </w:pPr>
      <w:r>
        <w:rPr>
          <w:sz w:val="24"/>
          <w:szCs w:val="24"/>
        </w:rPr>
      </w:r>
    </w:p>
    <w:p>
      <w:pPr>
        <w:pStyle w:val="Normal"/>
        <w:widowControl/>
        <w:suppressAutoHyphens w:val="true"/>
        <w:bidi w:val="0"/>
        <w:spacing w:lineRule="auto" w:line="240" w:before="0" w:after="0"/>
        <w:ind w:firstLine="4820"/>
        <w:jc w:val="left"/>
        <w:rPr>
          <w:sz w:val="22"/>
          <w:szCs w:val="22"/>
          <w:highlight w:val="lightGray"/>
        </w:rPr>
      </w:pPr>
      <w:r>
        <w:rPr>
          <w:sz w:val="22"/>
          <w:szCs w:val="22"/>
          <w:highlight w:val="lightGray"/>
        </w:rPr>
      </w:r>
    </w:p>
    <w:p>
      <w:pPr>
        <w:pStyle w:val="Normal"/>
        <w:spacing w:lineRule="auto" w:line="259" w:before="0" w:after="160"/>
        <w:ind w:hanging="0"/>
        <w:jc w:val="left"/>
        <w:rPr>
          <w:sz w:val="22"/>
          <w:szCs w:val="22"/>
          <w:highlight w:val="lightGray"/>
        </w:rPr>
      </w:pPr>
      <w:r>
        <w:rPr>
          <w:sz w:val="22"/>
          <w:szCs w:val="22"/>
          <w:highlight w:val="lightGray"/>
        </w:rPr>
      </w:r>
      <w:r>
        <w:br w:type="page"/>
      </w:r>
    </w:p>
    <w:p>
      <w:pPr>
        <w:pStyle w:val="Normal"/>
        <w:spacing w:lineRule="auto" w:line="240"/>
        <w:ind w:firstLine="4820"/>
        <w:jc w:val="right"/>
        <w:rPr/>
      </w:pPr>
      <w:r>
        <w:rPr>
          <w:sz w:val="22"/>
          <w:szCs w:val="22"/>
        </w:rPr>
        <w:t>Приложение № 6</w:t>
      </w:r>
    </w:p>
    <w:p>
      <w:pPr>
        <w:pStyle w:val="Normal"/>
        <w:spacing w:lineRule="auto" w:line="240"/>
        <w:ind w:firstLine="4820"/>
        <w:jc w:val="right"/>
        <w:rPr/>
      </w:pPr>
      <w:r>
        <w:rPr>
          <w:sz w:val="22"/>
          <w:szCs w:val="22"/>
        </w:rPr>
        <w:t>к Договору подряда</w:t>
      </w:r>
    </w:p>
    <w:p>
      <w:pPr>
        <w:pStyle w:val="Normal"/>
        <w:spacing w:lineRule="auto" w:line="240"/>
        <w:ind w:firstLine="4820"/>
        <w:jc w:val="right"/>
        <w:rPr/>
      </w:pPr>
      <w:r>
        <w:rPr>
          <w:sz w:val="22"/>
          <w:szCs w:val="22"/>
        </w:rPr>
        <w:t>от «____» __________ 2026 г. № ____</w:t>
      </w:r>
    </w:p>
    <w:p>
      <w:pPr>
        <w:pStyle w:val="Normal"/>
        <w:spacing w:lineRule="auto" w:line="240"/>
        <w:ind w:hanging="0"/>
        <w:jc w:val="right"/>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4700" w:type="pct"/>
        <w:jc w:val="center"/>
        <w:tblInd w:w="0" w:type="dxa"/>
        <w:tblLayout w:type="fixed"/>
        <w:tblCellMar>
          <w:top w:w="0" w:type="dxa"/>
          <w:left w:w="108" w:type="dxa"/>
          <w:bottom w:w="0" w:type="dxa"/>
          <w:right w:w="108" w:type="dxa"/>
        </w:tblCellMar>
        <w:tblLook w:noVBand="1" w:val="04a0" w:noHBand="0" w:lastColumn="0" w:firstColumn="1" w:lastRow="0" w:firstRow="1"/>
      </w:tblPr>
      <w:tblGrid>
        <w:gridCol w:w="699"/>
        <w:gridCol w:w="1453"/>
        <w:gridCol w:w="1318"/>
        <w:gridCol w:w="1313"/>
        <w:gridCol w:w="1313"/>
        <w:gridCol w:w="1316"/>
        <w:gridCol w:w="1645"/>
      </w:tblGrid>
      <w:tr>
        <w:trPr>
          <w:trHeight w:val="2142" w:hRule="atLeast"/>
        </w:trPr>
        <w:tc>
          <w:tcPr>
            <w:tcW w:w="6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widowControl w:val="false"/>
        <w:spacing w:lineRule="auto" w:line="240"/>
        <w:ind w:hanging="0"/>
        <w:jc w:val="center"/>
        <w:rPr>
          <w:b/>
          <w:sz w:val="24"/>
          <w:szCs w:val="24"/>
        </w:rPr>
      </w:pPr>
      <w:r>
        <w:rPr>
          <w:b/>
          <w:sz w:val="24"/>
          <w:szCs w:val="24"/>
        </w:rPr>
        <w:t>ПОДПИСИ СТОРОН:</w:t>
      </w:r>
    </w:p>
    <w:p>
      <w:pPr>
        <w:pStyle w:val="Normal"/>
        <w:widowControl w:val="false"/>
        <w:spacing w:lineRule="auto" w:line="240"/>
        <w:ind w:hanging="0"/>
        <w:jc w:val="center"/>
        <w:rPr>
          <w:sz w:val="24"/>
          <w:szCs w:val="24"/>
        </w:rPr>
      </w:pPr>
      <w:r>
        <w:rPr>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r>
          </w:p>
        </w:tc>
        <w:tc>
          <w:tcPr>
            <w:tcW w:w="4699" w:type="dxa"/>
            <w:tcBorders/>
          </w:tcPr>
          <w:p>
            <w:pPr>
              <w:pStyle w:val="Normal"/>
              <w:widowControl w:val="false"/>
              <w:suppressAutoHyphens w:val="true"/>
              <w:bidi w:val="0"/>
              <w:spacing w:lineRule="auto" w:line="240" w:before="0" w:after="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r>
              <w:rPr>
                <w:sz w:val="24"/>
              </w:rPr>
              <w:t xml:space="preserve">_______________ / </w:t>
            </w:r>
            <w:r>
              <w:rPr>
                <w:sz w:val="24"/>
              </w:rPr>
              <w:t>_____________</w:t>
            </w:r>
          </w:p>
        </w:tc>
        <w:tc>
          <w:tcPr>
            <w:tcW w:w="4699" w:type="dxa"/>
            <w:tcBorders/>
          </w:tcPr>
          <w:p>
            <w:pPr>
              <w:pStyle w:val="Normal"/>
              <w:widowControl w:val="false"/>
              <w:spacing w:lineRule="auto" w:line="240"/>
              <w:ind w:hanging="0"/>
              <w:jc w:val="left"/>
              <w:rPr>
                <w:sz w:val="24"/>
              </w:rPr>
            </w:pPr>
            <w:r>
              <w:rPr/>
              <w:t>‍</w:t>
            </w:r>
            <w:r>
              <w:rPr/>
              <w:t xml:space="preserve">_______________ / </w:t>
            </w:r>
            <w:r>
              <w:rPr/>
              <w:t>_____________</w:t>
            </w:r>
          </w:p>
        </w:tc>
      </w:tr>
    </w:tbl>
    <w:p>
      <w:pPr>
        <w:pStyle w:val="Normal"/>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r>
        <w:br w:type="page"/>
      </w:r>
    </w:p>
    <w:p>
      <w:pPr>
        <w:pStyle w:val="Normal"/>
        <w:spacing w:lineRule="auto" w:line="240"/>
        <w:ind w:firstLine="4820"/>
        <w:jc w:val="right"/>
        <w:rPr/>
      </w:pPr>
      <w:r>
        <w:rPr>
          <w:sz w:val="22"/>
          <w:szCs w:val="22"/>
        </w:rPr>
        <w:t>Приложение № 7</w:t>
      </w:r>
    </w:p>
    <w:p>
      <w:pPr>
        <w:pStyle w:val="Normal"/>
        <w:spacing w:lineRule="auto" w:line="240"/>
        <w:ind w:firstLine="4820"/>
        <w:jc w:val="right"/>
        <w:rPr/>
      </w:pPr>
      <w:r>
        <w:rPr>
          <w:sz w:val="22"/>
          <w:szCs w:val="22"/>
        </w:rPr>
        <w:t>к Договору подряда</w:t>
      </w:r>
    </w:p>
    <w:p>
      <w:pPr>
        <w:pStyle w:val="Normal"/>
        <w:spacing w:lineRule="auto" w:line="240"/>
        <w:ind w:firstLine="4820"/>
        <w:jc w:val="right"/>
        <w:rPr/>
      </w:pPr>
      <w:r>
        <w:rPr>
          <w:sz w:val="22"/>
          <w:szCs w:val="22"/>
        </w:rPr>
        <w:t xml:space="preserve">от «____» __________ 2026 г. № ____ </w:t>
      </w:r>
    </w:p>
    <w:p>
      <w:pPr>
        <w:pStyle w:val="Normal"/>
        <w:spacing w:lineRule="auto" w:line="240"/>
        <w:jc w:val="right"/>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noVBand="0" w:val="01e0" w:noHBand="0" w:lastColumn="1" w:firstColumn="1" w:lastRow="1" w:firstRow="1"/>
      </w:tblPr>
      <w:tblGrid>
        <w:gridCol w:w="3608"/>
        <w:gridCol w:w="6028"/>
      </w:tblGrid>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Виды нарушений</w:t>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Штрафные санкции</w:t>
            </w:r>
          </w:p>
        </w:tc>
      </w:tr>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0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 xml:space="preserve">требований охраны труда, промышленной безопасности, охраны окружающей среды. </w:t>
            </w:r>
          </w:p>
        </w:tc>
        <w:tc>
          <w:tcPr>
            <w:tcW w:w="602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hanging="0"/>
        <w:rPr>
          <w:sz w:val="22"/>
          <w:szCs w:val="22"/>
        </w:rPr>
      </w:pPr>
      <w:r>
        <w:rPr>
          <w:sz w:val="22"/>
          <w:szCs w:val="22"/>
        </w:rPr>
      </w:r>
    </w:p>
    <w:p>
      <w:pPr>
        <w:pStyle w:val="Normal"/>
        <w:widowControl w:val="false"/>
        <w:spacing w:lineRule="auto" w:line="240"/>
        <w:ind w:hanging="0"/>
        <w:jc w:val="center"/>
        <w:rPr>
          <w:b/>
          <w:sz w:val="24"/>
          <w:szCs w:val="24"/>
        </w:rPr>
      </w:pPr>
      <w:r>
        <w:rPr>
          <w:b/>
          <w:sz w:val="24"/>
          <w:szCs w:val="24"/>
        </w:rPr>
        <w:t>ПОДПИСИ СТОРОН:</w:t>
      </w:r>
    </w:p>
    <w:p>
      <w:pPr>
        <w:pStyle w:val="Normal"/>
        <w:widowControl w:val="false"/>
        <w:spacing w:lineRule="auto" w:line="240"/>
        <w:ind w:hanging="0"/>
        <w:jc w:val="center"/>
        <w:rPr>
          <w:sz w:val="24"/>
          <w:szCs w:val="24"/>
        </w:rPr>
      </w:pPr>
      <w:r>
        <w:rPr>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r>
          </w:p>
        </w:tc>
        <w:tc>
          <w:tcPr>
            <w:tcW w:w="4699" w:type="dxa"/>
            <w:tcBorders/>
          </w:tcPr>
          <w:p>
            <w:pPr>
              <w:pStyle w:val="Normal"/>
              <w:widowControl w:val="false"/>
              <w:suppressAutoHyphens w:val="true"/>
              <w:bidi w:val="0"/>
              <w:spacing w:lineRule="auto" w:line="240" w:before="0" w:after="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r>
              <w:rPr>
                <w:sz w:val="24"/>
              </w:rPr>
              <w:t xml:space="preserve">_______________ / </w:t>
            </w:r>
            <w:r>
              <w:rPr>
                <w:sz w:val="24"/>
              </w:rPr>
              <w:t>_____________</w:t>
            </w:r>
          </w:p>
        </w:tc>
        <w:tc>
          <w:tcPr>
            <w:tcW w:w="4699" w:type="dxa"/>
            <w:tcBorders/>
          </w:tcPr>
          <w:p>
            <w:pPr>
              <w:pStyle w:val="Normal"/>
              <w:widowControl w:val="false"/>
              <w:spacing w:lineRule="auto" w:line="240"/>
              <w:ind w:hanging="0"/>
              <w:jc w:val="left"/>
              <w:rPr>
                <w:sz w:val="24"/>
              </w:rPr>
            </w:pPr>
            <w:r>
              <w:rPr/>
              <w:t>‍</w:t>
            </w:r>
            <w:r>
              <w:rPr/>
              <w:t xml:space="preserve">_______________ / </w:t>
            </w:r>
            <w:r>
              <w:rPr/>
              <w:t>_____________</w:t>
            </w:r>
          </w:p>
        </w:tc>
      </w:tr>
    </w:tbl>
    <w:p>
      <w:pPr>
        <w:pStyle w:val="Normal"/>
        <w:ind w:hanging="0"/>
        <w:rPr>
          <w:sz w:val="22"/>
          <w:szCs w:val="22"/>
        </w:rPr>
      </w:pPr>
      <w:r>
        <w:rPr>
          <w:sz w:val="22"/>
          <w:szCs w:val="22"/>
        </w:rPr>
      </w:r>
    </w:p>
    <w:p>
      <w:pPr>
        <w:pStyle w:val="Normal"/>
        <w:widowControl/>
        <w:suppressAutoHyphens w:val="true"/>
        <w:bidi w:val="0"/>
        <w:spacing w:lineRule="auto" w:line="240" w:before="0" w:after="0"/>
        <w:ind w:hanging="0"/>
        <w:jc w:val="both"/>
        <w:rPr>
          <w:sz w:val="22"/>
          <w:szCs w:val="22"/>
        </w:rPr>
      </w:pPr>
      <w:r>
        <w:rPr>
          <w:sz w:val="22"/>
          <w:szCs w:val="22"/>
        </w:rPr>
      </w:r>
    </w:p>
    <w:p>
      <w:pPr>
        <w:sectPr>
          <w:footnotePr>
            <w:numFmt w:val="decimal"/>
          </w:footnotePr>
          <w:type w:val="continuous"/>
          <w:pgSz w:w="11906" w:h="16838"/>
          <w:pgMar w:left="1418" w:right="851" w:gutter="0" w:header="567" w:top="1134" w:footer="284" w:bottom="1134"/>
          <w:formProt w:val="false"/>
          <w:textDirection w:val="lrTb"/>
          <w:docGrid w:type="default" w:linePitch="381" w:charSpace="0"/>
        </w:sectPr>
      </w:pPr>
    </w:p>
    <w:p>
      <w:pPr>
        <w:pStyle w:val="Normal"/>
        <w:widowControl/>
        <w:suppressAutoHyphens w:val="true"/>
        <w:bidi w:val="0"/>
        <w:spacing w:lineRule="auto" w:line="240" w:before="0" w:after="0"/>
        <w:ind w:hanging="0"/>
        <w:jc w:val="both"/>
        <w:rPr>
          <w:sz w:val="22"/>
          <w:szCs w:val="22"/>
        </w:rPr>
      </w:pPr>
      <w:r>
        <w:rPr>
          <w:sz w:val="22"/>
          <w:szCs w:val="22"/>
        </w:rPr>
      </w:r>
    </w:p>
    <w:p>
      <w:pPr>
        <w:sectPr>
          <w:footnotePr>
            <w:numFmt w:val="decimal"/>
          </w:footnotePr>
          <w:type w:val="continuous"/>
          <w:pgSz w:w="11906" w:h="16838"/>
          <w:pgMar w:left="1418" w:right="851" w:gutter="0" w:header="567" w:top="1134" w:footer="284" w:bottom="1134"/>
          <w:formProt w:val="false"/>
          <w:textDirection w:val="lrTb"/>
          <w:docGrid w:type="default" w:linePitch="381" w:charSpace="0"/>
        </w:sectPr>
      </w:pPr>
    </w:p>
    <w:p>
      <w:pPr>
        <w:pStyle w:val="Normal"/>
        <w:widowControl/>
        <w:suppressAutoHyphens w:val="true"/>
        <w:bidi w:val="0"/>
        <w:spacing w:lineRule="auto" w:line="240" w:before="0" w:after="0"/>
        <w:ind w:hanging="0"/>
        <w:jc w:val="both"/>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sectPr>
          <w:footnotePr>
            <w:numFmt w:val="decimal"/>
          </w:footnotePr>
          <w:type w:val="continuous"/>
          <w:pgSz w:w="11906" w:h="16838"/>
          <w:pgMar w:left="1418" w:right="851" w:gutter="0" w:header="567" w:top="1134" w:footer="284" w:bottom="1134"/>
          <w:formProt w:val="false"/>
          <w:textDirection w:val="lrTb"/>
          <w:docGrid w:type="default" w:linePitch="381" w:charSpace="0"/>
        </w:sectPr>
      </w:pPr>
      <w:r>
        <w:br w:type="page"/>
      </w:r>
    </w:p>
    <w:p>
      <w:pPr>
        <w:pStyle w:val="Normal"/>
        <w:spacing w:lineRule="auto" w:line="240"/>
        <w:ind w:firstLine="5954"/>
        <w:jc w:val="right"/>
        <w:rPr>
          <w:sz w:val="22"/>
        </w:rPr>
      </w:pPr>
      <w:r>
        <w:rPr>
          <w:sz w:val="22"/>
        </w:rPr>
        <w:t>Приложение №10</w:t>
      </w:r>
    </w:p>
    <w:p>
      <w:pPr>
        <w:pStyle w:val="Normal"/>
        <w:spacing w:lineRule="auto" w:line="240"/>
        <w:ind w:firstLine="5954"/>
        <w:jc w:val="right"/>
        <w:rPr/>
      </w:pPr>
      <w:r>
        <w:rPr>
          <w:sz w:val="22"/>
        </w:rPr>
        <w:t>к договору подряда</w:t>
      </w:r>
    </w:p>
    <w:p>
      <w:pPr>
        <w:pStyle w:val="Normal"/>
        <w:spacing w:lineRule="auto" w:line="240"/>
        <w:ind w:firstLine="5954"/>
        <w:jc w:val="right"/>
        <w:rPr>
          <w:sz w:val="22"/>
        </w:rPr>
      </w:pPr>
      <w:r>
        <w:rPr>
          <w:sz w:val="22"/>
          <w:szCs w:val="22"/>
        </w:rPr>
        <w:t>от «____» _________ 2026 г № ______</w:t>
      </w:r>
    </w:p>
    <w:p>
      <w:pPr>
        <w:pStyle w:val="Normal"/>
        <w:spacing w:lineRule="auto" w:line="240"/>
        <w:ind w:firstLine="7088"/>
        <w:jc w:val="right"/>
        <w:rPr>
          <w:b/>
          <w:bCs/>
          <w:color w:val="000000"/>
          <w:sz w:val="24"/>
          <w:szCs w:val="24"/>
        </w:rPr>
      </w:pPr>
      <w:r>
        <w:rPr>
          <w:b/>
          <w:bCs/>
          <w:color w:val="000000"/>
          <w:sz w:val="24"/>
          <w:szCs w:val="24"/>
        </w:rPr>
      </w:r>
    </w:p>
    <w:p>
      <w:pPr>
        <w:pStyle w:val="Normal"/>
        <w:spacing w:lineRule="auto" w:line="240"/>
        <w:ind w:hanging="0"/>
        <w:jc w:val="center"/>
        <w:rPr>
          <w:b/>
          <w:sz w:val="24"/>
          <w:szCs w:val="24"/>
        </w:rPr>
      </w:pPr>
      <w:r>
        <w:rPr>
          <w:b/>
          <w:bCs/>
          <w:sz w:val="24"/>
          <w:szCs w:val="24"/>
        </w:rPr>
        <w:t>Форма справки о заключенных Подрядчиком договорах с Субподрядчиками</w:t>
      </w:r>
      <w:r>
        <w:rPr>
          <w:b/>
          <w:sz w:val="24"/>
          <w:szCs w:val="24"/>
        </w:rPr>
        <w:t xml:space="preserve"> </w:t>
      </w:r>
    </w:p>
    <w:p>
      <w:pPr>
        <w:pStyle w:val="Normal"/>
        <w:spacing w:lineRule="auto" w:line="240"/>
        <w:ind w:hanging="0"/>
        <w:jc w:val="right"/>
        <w:rPr>
          <w:sz w:val="16"/>
          <w:szCs w:val="16"/>
        </w:rPr>
      </w:pPr>
      <w:r>
        <w:rPr>
          <w:sz w:val="16"/>
          <w:szCs w:val="16"/>
        </w:rPr>
      </w:r>
    </w:p>
    <w:tbl>
      <w:tblPr>
        <w:tblW w:w="5000" w:type="pct"/>
        <w:jc w:val="center"/>
        <w:tblInd w:w="0" w:type="dxa"/>
        <w:tblLayout w:type="fixed"/>
        <w:tblCellMar>
          <w:top w:w="0" w:type="dxa"/>
          <w:left w:w="28" w:type="dxa"/>
          <w:bottom w:w="0" w:type="dxa"/>
          <w:right w:w="28" w:type="dxa"/>
        </w:tblCellMar>
        <w:tblLook w:noVBand="1" w:val="04a0" w:noHBand="0" w:lastColumn="0" w:firstColumn="1" w:lastRow="0" w:firstRow="1"/>
      </w:tblPr>
      <w:tblGrid>
        <w:gridCol w:w="183"/>
        <w:gridCol w:w="531"/>
        <w:gridCol w:w="770"/>
        <w:gridCol w:w="954"/>
        <w:gridCol w:w="1593"/>
        <w:gridCol w:w="1966"/>
        <w:gridCol w:w="1859"/>
        <w:gridCol w:w="662"/>
        <w:gridCol w:w="1118"/>
      </w:tblGrid>
      <w:tr>
        <w:trPr>
          <w:trHeight w:val="1327" w:hRule="atLeast"/>
        </w:trPr>
        <w:tc>
          <w:tcPr>
            <w:tcW w:w="1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r>
          </w:p>
        </w:tc>
        <w:tc>
          <w:tcPr>
            <w:tcW w:w="5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Предмет договора</w:t>
            </w:r>
          </w:p>
        </w:tc>
        <w:tc>
          <w:tcPr>
            <w:tcW w:w="77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t>Дата договора</w:t>
            </w:r>
          </w:p>
        </w:tc>
        <w:tc>
          <w:tcPr>
            <w:tcW w:w="9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Номер договора с субподрядчиком</w:t>
            </w:r>
          </w:p>
        </w:tc>
        <w:tc>
          <w:tcPr>
            <w:tcW w:w="15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ОКПД2</w:t>
            </w:r>
          </w:p>
          <w:p>
            <w:pPr>
              <w:pStyle w:val="Normal"/>
              <w:widowControl w:val="false"/>
              <w:spacing w:lineRule="auto" w:line="240"/>
              <w:ind w:hanging="0"/>
              <w:jc w:val="center"/>
              <w:rPr>
                <w:sz w:val="16"/>
                <w:szCs w:val="16"/>
              </w:rPr>
            </w:pPr>
            <w:r>
              <w:rPr>
                <w:sz w:val="16"/>
                <w:szCs w:val="16"/>
              </w:rPr>
              <w:t xml:space="preserve">(Если договором предусмотрена поставка товара, предусмотренного Перечнем в соответствии с  Постановлением Правительства РФ </w:t>
            </w:r>
            <w:r>
              <w:rPr>
                <w:color w:val="000000" w:themeColor="text1"/>
                <w:sz w:val="16"/>
                <w:szCs w:val="16"/>
              </w:rPr>
              <w:t xml:space="preserve">от 23.12.2024 № 1875 </w:t>
            </w:r>
            <w:r>
              <w:rPr>
                <w:sz w:val="16"/>
                <w:szCs w:val="16"/>
              </w:rPr>
              <w:t xml:space="preserve"> данный товар заполняется отдельной строкой)</w:t>
            </w:r>
          </w:p>
        </w:tc>
        <w:tc>
          <w:tcPr>
            <w:tcW w:w="19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Страна происхождения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18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Страна регистрации производителя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6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Валюта (ОКВ)</w:t>
            </w:r>
          </w:p>
        </w:tc>
        <w:tc>
          <w:tcPr>
            <w:tcW w:w="11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Единица измерения</w:t>
            </w:r>
          </w:p>
          <w:p>
            <w:pPr>
              <w:pStyle w:val="Normal"/>
              <w:widowControl w:val="false"/>
              <w:spacing w:lineRule="auto" w:line="240"/>
              <w:ind w:hanging="0"/>
              <w:jc w:val="center"/>
              <w:rPr>
                <w:sz w:val="16"/>
                <w:szCs w:val="16"/>
              </w:rPr>
            </w:pPr>
            <w:r>
              <w:rPr>
                <w:sz w:val="16"/>
                <w:szCs w:val="16"/>
              </w:rPr>
              <w:t>ОКЕИ</w:t>
            </w:r>
          </w:p>
        </w:tc>
      </w:tr>
      <w:tr>
        <w:trPr/>
        <w:tc>
          <w:tcPr>
            <w:tcW w:w="1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w:t>
            </w:r>
          </w:p>
        </w:tc>
        <w:tc>
          <w:tcPr>
            <w:tcW w:w="5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rPr>
            </w:pPr>
            <w:r>
              <w:rPr>
                <w:b/>
                <w:sz w:val="16"/>
                <w:szCs w:val="16"/>
              </w:rPr>
              <w:t>2</w:t>
            </w:r>
          </w:p>
        </w:tc>
        <w:tc>
          <w:tcPr>
            <w:tcW w:w="77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sz w:val="16"/>
                <w:szCs w:val="16"/>
              </w:rPr>
            </w:pPr>
            <w:r>
              <w:rPr>
                <w:b/>
                <w:sz w:val="16"/>
                <w:szCs w:val="16"/>
              </w:rPr>
              <w:t>3</w:t>
            </w:r>
          </w:p>
        </w:tc>
        <w:tc>
          <w:tcPr>
            <w:tcW w:w="9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rPr>
            </w:pPr>
            <w:r>
              <w:rPr>
                <w:b/>
                <w:sz w:val="16"/>
                <w:szCs w:val="16"/>
              </w:rPr>
              <w:t>4</w:t>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rPr>
            </w:pPr>
            <w:r>
              <w:rPr>
                <w:b/>
                <w:sz w:val="16"/>
                <w:szCs w:val="16"/>
              </w:rPr>
              <w:t>5</w:t>
            </w:r>
          </w:p>
        </w:tc>
        <w:tc>
          <w:tcPr>
            <w:tcW w:w="1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rPr>
            </w:pPr>
            <w:r>
              <w:rPr>
                <w:b/>
                <w:sz w:val="16"/>
                <w:szCs w:val="16"/>
              </w:rPr>
              <w:t>6</w:t>
            </w:r>
          </w:p>
        </w:tc>
        <w:tc>
          <w:tcPr>
            <w:tcW w:w="1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rPr>
            </w:pPr>
            <w:r>
              <w:rPr>
                <w:b/>
                <w:sz w:val="16"/>
                <w:szCs w:val="16"/>
              </w:rPr>
              <w:t>7</w:t>
            </w:r>
          </w:p>
        </w:tc>
        <w:tc>
          <w:tcPr>
            <w:tcW w:w="6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
                <w:sz w:val="16"/>
                <w:szCs w:val="16"/>
              </w:rPr>
            </w:pPr>
            <w:r>
              <w:rPr>
                <w:b/>
                <w:sz w:val="16"/>
                <w:szCs w:val="16"/>
              </w:rPr>
              <w:t>8</w:t>
            </w:r>
          </w:p>
        </w:tc>
        <w:tc>
          <w:tcPr>
            <w:tcW w:w="11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rPr>
            </w:pPr>
            <w:r>
              <w:rPr>
                <w:b/>
                <w:sz w:val="16"/>
                <w:szCs w:val="16"/>
              </w:rPr>
              <w:t>9</w:t>
            </w:r>
          </w:p>
        </w:tc>
      </w:tr>
      <w:tr>
        <w:trPr/>
        <w:tc>
          <w:tcPr>
            <w:tcW w:w="1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lang w:val="en-US"/>
              </w:rPr>
            </w:pPr>
            <w:r>
              <w:rPr>
                <w:i/>
                <w:sz w:val="16"/>
                <w:szCs w:val="16"/>
                <w:lang w:val="en-US"/>
              </w:rPr>
              <w:t>1</w:t>
            </w:r>
          </w:p>
        </w:tc>
        <w:tc>
          <w:tcPr>
            <w:tcW w:w="53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7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95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5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8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6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6"/>
                <w:szCs w:val="16"/>
              </w:rPr>
            </w:pPr>
            <w:r>
              <w:rPr>
                <w:i/>
                <w:sz w:val="16"/>
                <w:szCs w:val="16"/>
              </w:rPr>
            </w:r>
          </w:p>
        </w:tc>
        <w:tc>
          <w:tcPr>
            <w:tcW w:w="11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r>
    </w:tbl>
    <w:p>
      <w:pPr>
        <w:pStyle w:val="Normal"/>
        <w:spacing w:lineRule="auto" w:line="240"/>
        <w:ind w:hanging="0"/>
        <w:rPr>
          <w:sz w:val="16"/>
          <w:szCs w:val="16"/>
        </w:rPr>
      </w:pPr>
      <w:r>
        <w:rPr>
          <w:sz w:val="16"/>
          <w:szCs w:val="16"/>
        </w:rPr>
      </w:r>
    </w:p>
    <w:tbl>
      <w:tblPr>
        <w:tblW w:w="5000" w:type="pct"/>
        <w:jc w:val="left"/>
        <w:tblInd w:w="33" w:type="dxa"/>
        <w:tblLayout w:type="fixed"/>
        <w:tblCellMar>
          <w:top w:w="0" w:type="dxa"/>
          <w:left w:w="28" w:type="dxa"/>
          <w:bottom w:w="0" w:type="dxa"/>
          <w:right w:w="28" w:type="dxa"/>
        </w:tblCellMar>
        <w:tblLook w:noVBand="1" w:val="04a0" w:noHBand="0" w:lastColumn="0" w:firstColumn="1" w:lastRow="0" w:firstRow="1"/>
      </w:tblPr>
      <w:tblGrid>
        <w:gridCol w:w="845"/>
        <w:gridCol w:w="1116"/>
        <w:gridCol w:w="745"/>
        <w:gridCol w:w="753"/>
        <w:gridCol w:w="840"/>
        <w:gridCol w:w="1405"/>
        <w:gridCol w:w="1222"/>
        <w:gridCol w:w="850"/>
        <w:gridCol w:w="1860"/>
      </w:tblGrid>
      <w:tr>
        <w:trPr>
          <w:trHeight w:val="1289" w:hRule="atLeast"/>
        </w:trPr>
        <w:tc>
          <w:tcPr>
            <w:tcW w:w="8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Кол-во товара, работ, услуг</w:t>
            </w:r>
          </w:p>
        </w:tc>
        <w:tc>
          <w:tcPr>
            <w:tcW w:w="11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Цена за единицу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Цена по договору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7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Дата начала выполнения работ</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Дата окончания выполнения работ</w:t>
            </w:r>
          </w:p>
        </w:tc>
        <w:tc>
          <w:tcPr>
            <w:tcW w:w="1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t>Принадлежность к МСП</w:t>
            </w:r>
          </w:p>
          <w:p>
            <w:pPr>
              <w:pStyle w:val="Normal"/>
              <w:widowControl w:val="false"/>
              <w:spacing w:lineRule="auto" w:line="240"/>
              <w:ind w:hanging="0"/>
              <w:jc w:val="center"/>
              <w:rPr>
                <w:sz w:val="16"/>
                <w:szCs w:val="16"/>
              </w:rPr>
            </w:pPr>
            <w:r>
              <w:rPr>
                <w:sz w:val="16"/>
                <w:szCs w:val="16"/>
              </w:rPr>
              <w:t>(среднее предприятие, малое предприятие, микропредприятие)</w:t>
            </w:r>
            <w:r>
              <w:rPr>
                <w:rStyle w:val="FootnoteReference"/>
                <w:rFonts w:eastAsia="Symbol" w:cs="Symbol" w:ascii="Symbol" w:hAnsi="Symbol"/>
                <w:sz w:val="16"/>
                <w:szCs w:val="16"/>
              </w:rPr>
              <w:footnoteReference w:customMarkFollows="1" w:id="22"/>
              <w:t></w:t>
            </w:r>
          </w:p>
        </w:tc>
        <w:tc>
          <w:tcPr>
            <w:tcW w:w="12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t>Полное наименование/ФИО</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Сокращенное наименование</w:t>
            </w:r>
          </w:p>
        </w:tc>
        <w:tc>
          <w:tcPr>
            <w:tcW w:w="18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Физическое/Юридическое лицо</w:t>
            </w:r>
          </w:p>
        </w:tc>
      </w:tr>
      <w:tr>
        <w:trPr/>
        <w:tc>
          <w:tcPr>
            <w:tcW w:w="8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rPr>
            </w:pPr>
            <w:r>
              <w:rPr>
                <w:b/>
                <w:sz w:val="16"/>
                <w:szCs w:val="16"/>
              </w:rPr>
              <w:t>10</w:t>
            </w:r>
          </w:p>
        </w:tc>
        <w:tc>
          <w:tcPr>
            <w:tcW w:w="11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11</w:t>
            </w:r>
          </w:p>
        </w:tc>
        <w:tc>
          <w:tcPr>
            <w:tcW w:w="7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rPr>
              <w:t>1</w:t>
            </w:r>
            <w:r>
              <w:rPr>
                <w:b/>
                <w:sz w:val="16"/>
                <w:szCs w:val="16"/>
                <w:lang w:val="en-US"/>
              </w:rPr>
              <w:t>2</w:t>
            </w:r>
          </w:p>
        </w:tc>
        <w:tc>
          <w:tcPr>
            <w:tcW w:w="7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13</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
                <w:sz w:val="16"/>
                <w:szCs w:val="16"/>
                <w:lang w:val="en-US"/>
              </w:rPr>
            </w:pPr>
            <w:r>
              <w:rPr>
                <w:b/>
                <w:sz w:val="16"/>
                <w:szCs w:val="16"/>
                <w:lang w:val="en-US"/>
              </w:rPr>
              <w:t>14</w:t>
            </w:r>
          </w:p>
        </w:tc>
        <w:tc>
          <w:tcPr>
            <w:tcW w:w="1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15</w:t>
            </w:r>
          </w:p>
        </w:tc>
        <w:tc>
          <w:tcPr>
            <w:tcW w:w="12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16</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spacing w:lineRule="auto" w:line="240"/>
              <w:ind w:hanging="0"/>
              <w:jc w:val="center"/>
              <w:rPr>
                <w:b/>
                <w:sz w:val="16"/>
                <w:szCs w:val="16"/>
              </w:rPr>
            </w:pPr>
            <w:r>
              <w:rPr>
                <w:b/>
                <w:sz w:val="16"/>
                <w:szCs w:val="16"/>
                <w:lang w:val="en-US"/>
              </w:rPr>
              <w:t>1</w:t>
            </w:r>
            <w:r>
              <w:rPr>
                <w:b/>
                <w:sz w:val="16"/>
                <w:szCs w:val="16"/>
              </w:rPr>
              <w:t>7</w:t>
            </w:r>
          </w:p>
        </w:tc>
        <w:tc>
          <w:tcPr>
            <w:tcW w:w="18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spacing w:lineRule="auto" w:line="240"/>
              <w:ind w:hanging="0"/>
              <w:jc w:val="center"/>
              <w:rPr>
                <w:b/>
                <w:sz w:val="16"/>
                <w:szCs w:val="16"/>
              </w:rPr>
            </w:pPr>
            <w:r>
              <w:rPr>
                <w:b/>
                <w:sz w:val="16"/>
                <w:szCs w:val="16"/>
                <w:lang w:val="en-US"/>
              </w:rPr>
              <w:t>1</w:t>
            </w:r>
            <w:r>
              <w:rPr>
                <w:b/>
                <w:sz w:val="16"/>
                <w:szCs w:val="16"/>
              </w:rPr>
              <w:t>8</w:t>
            </w:r>
          </w:p>
        </w:tc>
      </w:tr>
      <w:tr>
        <w:trPr/>
        <w:tc>
          <w:tcPr>
            <w:tcW w:w="8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1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8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4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2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8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jc w:val="left"/>
        <w:rPr>
          <w:sz w:val="16"/>
          <w:szCs w:val="16"/>
        </w:rPr>
      </w:pPr>
      <w:r>
        <w:rPr>
          <w:sz w:val="16"/>
          <w:szCs w:val="16"/>
        </w:rPr>
      </w:r>
    </w:p>
    <w:tbl>
      <w:tblPr>
        <w:tblW w:w="5000" w:type="pct"/>
        <w:jc w:val="left"/>
        <w:tblInd w:w="33" w:type="dxa"/>
        <w:tblLayout w:type="fixed"/>
        <w:tblCellMar>
          <w:top w:w="0" w:type="dxa"/>
          <w:left w:w="28" w:type="dxa"/>
          <w:bottom w:w="0" w:type="dxa"/>
          <w:right w:w="28" w:type="dxa"/>
        </w:tblCellMar>
        <w:tblLook w:noVBand="1" w:val="04a0" w:noHBand="0" w:lastColumn="0" w:firstColumn="1" w:lastRow="0" w:firstRow="1"/>
      </w:tblPr>
      <w:tblGrid>
        <w:gridCol w:w="874"/>
        <w:gridCol w:w="1193"/>
        <w:gridCol w:w="771"/>
        <w:gridCol w:w="790"/>
        <w:gridCol w:w="882"/>
        <w:gridCol w:w="786"/>
        <w:gridCol w:w="1276"/>
        <w:gridCol w:w="686"/>
        <w:gridCol w:w="783"/>
        <w:gridCol w:w="585"/>
        <w:gridCol w:w="503"/>
        <w:gridCol w:w="507"/>
      </w:tblGrid>
      <w:tr>
        <w:trPr>
          <w:trHeight w:val="1266" w:hRule="atLeast"/>
        </w:trPr>
        <w:tc>
          <w:tcPr>
            <w:tcW w:w="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Дата постановки на учет</w:t>
            </w:r>
          </w:p>
        </w:tc>
        <w:tc>
          <w:tcPr>
            <w:tcW w:w="11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Почтовый индекс</w:t>
            </w:r>
          </w:p>
        </w:tc>
        <w:tc>
          <w:tcPr>
            <w:tcW w:w="7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Адрес местонахождения</w:t>
            </w:r>
          </w:p>
        </w:tc>
        <w:tc>
          <w:tcPr>
            <w:tcW w:w="7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Адрес пребывания на территории РФ (для нерезидентов РФ)</w:t>
            </w:r>
          </w:p>
        </w:tc>
        <w:tc>
          <w:tcPr>
            <w:tcW w:w="8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Электронный адрес</w:t>
            </w:r>
          </w:p>
        </w:tc>
        <w:tc>
          <w:tcPr>
            <w:tcW w:w="7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t>Контактный телефон</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6"/>
                <w:szCs w:val="16"/>
              </w:rPr>
            </w:pPr>
            <w:r>
              <w:rPr>
                <w:sz w:val="16"/>
                <w:szCs w:val="16"/>
              </w:rPr>
              <w:t>ОКСМ</w:t>
            </w:r>
          </w:p>
        </w:tc>
        <w:tc>
          <w:tcPr>
            <w:tcW w:w="6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ОКТМО</w:t>
            </w:r>
          </w:p>
        </w:tc>
        <w:tc>
          <w:tcPr>
            <w:tcW w:w="7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16"/>
                <w:szCs w:val="16"/>
              </w:rPr>
            </w:pPr>
            <w:r>
              <w:rPr>
                <w:sz w:val="16"/>
                <w:szCs w:val="16"/>
              </w:rPr>
              <w:t>ОКОПФ</w:t>
            </w:r>
          </w:p>
        </w:tc>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ОКПО</w:t>
            </w:r>
          </w:p>
        </w:tc>
        <w:tc>
          <w:tcPr>
            <w:tcW w:w="5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КПП</w:t>
            </w:r>
          </w:p>
        </w:tc>
        <w:tc>
          <w:tcPr>
            <w:tcW w:w="5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ИНН</w:t>
            </w:r>
          </w:p>
          <w:p>
            <w:pPr>
              <w:pStyle w:val="Normal"/>
              <w:widowControl w:val="false"/>
              <w:rPr>
                <w:sz w:val="16"/>
                <w:szCs w:val="16"/>
              </w:rPr>
            </w:pPr>
            <w:r>
              <w:rPr>
                <w:sz w:val="16"/>
                <w:szCs w:val="16"/>
              </w:rPr>
            </w:r>
          </w:p>
          <w:p>
            <w:pPr>
              <w:pStyle w:val="Normal"/>
              <w:widowControl w:val="false"/>
              <w:rPr>
                <w:sz w:val="16"/>
                <w:szCs w:val="16"/>
              </w:rPr>
            </w:pPr>
            <w:r>
              <w:rPr>
                <w:sz w:val="16"/>
                <w:szCs w:val="16"/>
              </w:rPr>
            </w:r>
          </w:p>
        </w:tc>
      </w:tr>
      <w:tr>
        <w:trPr>
          <w:trHeight w:val="200" w:hRule="atLeast"/>
        </w:trPr>
        <w:tc>
          <w:tcPr>
            <w:tcW w:w="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rPr>
            </w:pPr>
            <w:r>
              <w:rPr>
                <w:b/>
                <w:sz w:val="16"/>
                <w:szCs w:val="16"/>
                <w:lang w:val="en-US"/>
              </w:rPr>
              <w:t>1</w:t>
            </w:r>
            <w:r>
              <w:rPr>
                <w:b/>
                <w:sz w:val="16"/>
                <w:szCs w:val="16"/>
              </w:rPr>
              <w:t>9</w:t>
            </w:r>
          </w:p>
        </w:tc>
        <w:tc>
          <w:tcPr>
            <w:tcW w:w="11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20</w:t>
            </w:r>
          </w:p>
        </w:tc>
        <w:tc>
          <w:tcPr>
            <w:tcW w:w="7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21</w:t>
            </w:r>
          </w:p>
        </w:tc>
        <w:tc>
          <w:tcPr>
            <w:tcW w:w="7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
                <w:sz w:val="16"/>
                <w:szCs w:val="16"/>
                <w:lang w:val="en-US"/>
              </w:rPr>
            </w:pPr>
            <w:r>
              <w:rPr>
                <w:b/>
                <w:sz w:val="16"/>
                <w:szCs w:val="16"/>
                <w:lang w:val="en-US"/>
              </w:rPr>
              <w:t>22</w:t>
            </w:r>
          </w:p>
        </w:tc>
        <w:tc>
          <w:tcPr>
            <w:tcW w:w="8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
                <w:sz w:val="16"/>
                <w:szCs w:val="16"/>
                <w:lang w:val="en-US"/>
              </w:rPr>
            </w:pPr>
            <w:r>
              <w:rPr>
                <w:b/>
                <w:sz w:val="16"/>
                <w:szCs w:val="16"/>
                <w:lang w:val="en-US"/>
              </w:rPr>
              <w:t>23</w:t>
            </w:r>
          </w:p>
        </w:tc>
        <w:tc>
          <w:tcPr>
            <w:tcW w:w="7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24</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25</w:t>
            </w:r>
          </w:p>
        </w:tc>
        <w:tc>
          <w:tcPr>
            <w:tcW w:w="6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spacing w:lineRule="auto" w:line="240"/>
              <w:ind w:hanging="0"/>
              <w:jc w:val="center"/>
              <w:rPr>
                <w:b/>
                <w:sz w:val="16"/>
                <w:szCs w:val="16"/>
                <w:lang w:val="en-US"/>
              </w:rPr>
            </w:pPr>
            <w:r>
              <w:rPr>
                <w:b/>
                <w:sz w:val="16"/>
                <w:szCs w:val="16"/>
                <w:lang w:val="en-US"/>
              </w:rPr>
              <w:t>26</w:t>
            </w:r>
          </w:p>
        </w:tc>
        <w:tc>
          <w:tcPr>
            <w:tcW w:w="7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spacing w:lineRule="auto" w:line="240"/>
              <w:ind w:hanging="0"/>
              <w:jc w:val="center"/>
              <w:rPr>
                <w:b/>
                <w:sz w:val="16"/>
                <w:szCs w:val="16"/>
                <w:lang w:val="en-US"/>
              </w:rPr>
            </w:pPr>
            <w:r>
              <w:rPr>
                <w:b/>
                <w:sz w:val="16"/>
                <w:szCs w:val="16"/>
                <w:lang w:val="en-US"/>
              </w:rPr>
              <w:t>27</w:t>
            </w:r>
          </w:p>
        </w:tc>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spacing w:lineRule="auto" w:line="240"/>
              <w:ind w:hanging="0"/>
              <w:jc w:val="center"/>
              <w:rPr>
                <w:b/>
                <w:sz w:val="16"/>
                <w:szCs w:val="16"/>
                <w:lang w:val="en-US"/>
              </w:rPr>
            </w:pPr>
            <w:r>
              <w:rPr>
                <w:b/>
                <w:sz w:val="16"/>
                <w:szCs w:val="16"/>
                <w:lang w:val="en-US"/>
              </w:rPr>
              <w:t>28</w:t>
            </w:r>
          </w:p>
        </w:tc>
        <w:tc>
          <w:tcPr>
            <w:tcW w:w="50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spacing w:lineRule="auto" w:line="240"/>
              <w:ind w:hanging="0"/>
              <w:jc w:val="center"/>
              <w:rPr>
                <w:b/>
                <w:sz w:val="16"/>
                <w:szCs w:val="16"/>
                <w:lang w:val="en-US"/>
              </w:rPr>
            </w:pPr>
            <w:r>
              <w:rPr>
                <w:b/>
                <w:sz w:val="16"/>
                <w:szCs w:val="16"/>
                <w:lang w:val="en-US"/>
              </w:rPr>
              <w:t>29</w:t>
            </w:r>
          </w:p>
        </w:tc>
        <w:tc>
          <w:tcPr>
            <w:tcW w:w="50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spacing w:lineRule="auto" w:line="240"/>
              <w:ind w:hanging="0"/>
              <w:jc w:val="center"/>
              <w:rPr>
                <w:b/>
                <w:sz w:val="16"/>
                <w:szCs w:val="16"/>
                <w:lang w:val="en-US"/>
              </w:rPr>
            </w:pPr>
            <w:r>
              <w:rPr>
                <w:b/>
                <w:sz w:val="16"/>
                <w:szCs w:val="16"/>
                <w:lang w:val="en-US"/>
              </w:rPr>
              <w:t>30</w:t>
            </w:r>
          </w:p>
        </w:tc>
      </w:tr>
      <w:tr>
        <w:trPr>
          <w:trHeight w:val="200" w:hRule="atLeast"/>
        </w:trPr>
        <w:tc>
          <w:tcPr>
            <w:tcW w:w="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11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8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8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6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7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i/>
                <w:i/>
                <w:sz w:val="16"/>
                <w:szCs w:val="16"/>
              </w:rPr>
            </w:pPr>
            <w:r>
              <w:rPr>
                <w:i/>
                <w:sz w:val="16"/>
                <w:szCs w:val="16"/>
              </w:rPr>
            </w:r>
          </w:p>
        </w:tc>
        <w:tc>
          <w:tcPr>
            <w:tcW w:w="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50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c>
          <w:tcPr>
            <w:tcW w:w="5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16"/>
          <w:szCs w:val="16"/>
        </w:rPr>
      </w:pPr>
      <w:r>
        <w:rPr>
          <w:sz w:val="16"/>
          <w:szCs w:val="16"/>
        </w:rPr>
        <w:t>Генеральный директор ________________________________</w:t>
      </w:r>
    </w:p>
    <w:p>
      <w:pPr>
        <w:pStyle w:val="Normal"/>
        <w:widowControl w:val="false"/>
        <w:spacing w:lineRule="auto" w:line="240"/>
        <w:ind w:hanging="0"/>
        <w:jc w:val="left"/>
        <w:rPr>
          <w:sz w:val="16"/>
          <w:szCs w:val="16"/>
        </w:rPr>
      </w:pPr>
      <w:r>
        <w:rPr>
          <w:sz w:val="16"/>
          <w:szCs w:val="16"/>
        </w:rPr>
        <w:t xml:space="preserve">Дата составления справки _________     </w:t>
      </w:r>
    </w:p>
    <w:p>
      <w:pPr>
        <w:pStyle w:val="Normal"/>
        <w:spacing w:lineRule="auto" w:line="240"/>
        <w:ind w:firstLine="709"/>
        <w:jc w:val="center"/>
        <w:rPr>
          <w:b/>
          <w:sz w:val="24"/>
          <w:szCs w:val="24"/>
        </w:rPr>
      </w:pPr>
      <w:r>
        <w:rPr>
          <w:b/>
          <w:sz w:val="24"/>
          <w:szCs w:val="24"/>
        </w:rPr>
        <w:t>ФОРМА СОГЛАСОВАНА</w:t>
      </w:r>
    </w:p>
    <w:p>
      <w:pPr>
        <w:pStyle w:val="Normal"/>
        <w:spacing w:lineRule="auto" w:line="240"/>
        <w:ind w:firstLine="709"/>
        <w:jc w:val="center"/>
        <w:rPr>
          <w:b/>
          <w:sz w:val="24"/>
          <w:szCs w:val="24"/>
        </w:rPr>
      </w:pPr>
      <w:r>
        <w:rPr>
          <w:b/>
          <w:sz w:val="24"/>
          <w:szCs w:val="24"/>
        </w:rPr>
        <w:t>ПОДПИСИ СТОРОН:</w:t>
      </w:r>
    </w:p>
    <w:p>
      <w:pPr>
        <w:pStyle w:val="Normal"/>
        <w:spacing w:lineRule="auto" w:line="240"/>
        <w:ind w:firstLine="709"/>
        <w:jc w:val="center"/>
        <w:rPr>
          <w:b/>
          <w:sz w:val="24"/>
          <w:szCs w:val="24"/>
        </w:rPr>
      </w:pPr>
      <w:r>
        <w:rPr>
          <w:b/>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r>
          </w:p>
        </w:tc>
        <w:tc>
          <w:tcPr>
            <w:tcW w:w="4699" w:type="dxa"/>
            <w:tcBorders/>
          </w:tcPr>
          <w:p>
            <w:pPr>
              <w:pStyle w:val="Normal"/>
              <w:widowControl w:val="false"/>
              <w:spacing w:lineRule="auto" w:line="24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r>
              <w:rPr>
                <w:sz w:val="24"/>
              </w:rPr>
              <w:t xml:space="preserve">_______________ / </w:t>
            </w:r>
            <w:r>
              <w:rPr>
                <w:sz w:val="24"/>
              </w:rPr>
              <w:t>_____________</w:t>
            </w:r>
          </w:p>
        </w:tc>
        <w:tc>
          <w:tcPr>
            <w:tcW w:w="4699" w:type="dxa"/>
            <w:tcBorders/>
          </w:tcPr>
          <w:p>
            <w:pPr>
              <w:pStyle w:val="Normal"/>
              <w:widowControl w:val="false"/>
              <w:spacing w:lineRule="auto" w:line="240"/>
              <w:ind w:hanging="0"/>
              <w:jc w:val="left"/>
              <w:rPr>
                <w:sz w:val="24"/>
              </w:rPr>
            </w:pPr>
            <w:r>
              <w:rPr/>
              <w:t>‍</w:t>
            </w:r>
            <w:r>
              <w:rPr/>
              <w:t xml:space="preserve">_______________ / </w:t>
            </w:r>
            <w:r>
              <w:rPr/>
              <w:t>_____________</w:t>
            </w:r>
          </w:p>
        </w:tc>
      </w:tr>
    </w:tbl>
    <w:p>
      <w:pPr>
        <w:pStyle w:val="Normal"/>
        <w:spacing w:lineRule="auto" w:line="240"/>
        <w:ind w:firstLine="5954"/>
        <w:jc w:val="right"/>
        <w:rPr>
          <w:sz w:val="22"/>
        </w:rPr>
      </w:pPr>
      <w:r>
        <w:rPr>
          <w:sz w:val="22"/>
        </w:rPr>
      </w:r>
    </w:p>
    <w:p>
      <w:pPr>
        <w:pStyle w:val="Normal"/>
        <w:spacing w:lineRule="auto" w:line="240"/>
        <w:ind w:firstLine="5954"/>
        <w:jc w:val="right"/>
        <w:rPr>
          <w:sz w:val="22"/>
        </w:rPr>
      </w:pPr>
      <w:r>
        <w:rPr>
          <w:sz w:val="22"/>
        </w:rPr>
      </w:r>
    </w:p>
    <w:p>
      <w:pPr>
        <w:pStyle w:val="Normal"/>
        <w:spacing w:lineRule="auto" w:line="240"/>
        <w:ind w:firstLine="5954"/>
        <w:jc w:val="right"/>
        <w:rPr>
          <w:sz w:val="22"/>
        </w:rPr>
      </w:pPr>
      <w:r>
        <w:rPr>
          <w:sz w:val="22"/>
        </w:rPr>
      </w:r>
    </w:p>
    <w:p>
      <w:pPr>
        <w:pStyle w:val="Normal"/>
        <w:spacing w:lineRule="auto" w:line="240"/>
        <w:ind w:firstLine="5954"/>
        <w:jc w:val="right"/>
        <w:rPr>
          <w:sz w:val="22"/>
        </w:rPr>
      </w:pPr>
      <w:r>
        <w:rPr>
          <w:sz w:val="22"/>
        </w:rPr>
      </w:r>
    </w:p>
    <w:p>
      <w:pPr>
        <w:pStyle w:val="Normal"/>
        <w:pageBreakBefore w:val="false"/>
        <w:widowControl w:val="false"/>
        <w:suppressAutoHyphens w:val="true"/>
        <w:bidi w:val="0"/>
        <w:spacing w:lineRule="auto" w:line="240" w:before="0" w:after="0"/>
        <w:ind w:hanging="0"/>
        <w:jc w:val="left"/>
        <w:rPr/>
      </w:pPr>
      <w:r>
        <w:rPr/>
      </w:r>
    </w:p>
    <w:p>
      <w:pPr>
        <w:sectPr>
          <w:footerReference w:type="default" r:id="rId13"/>
          <w:footnotePr>
            <w:numFmt w:val="decimal"/>
          </w:footnotePr>
          <w:type w:val="nextPage"/>
          <w:pgSz w:w="11906" w:h="16838"/>
          <w:pgMar w:left="1418" w:right="851" w:gutter="0" w:header="0" w:top="709" w:footer="0" w:bottom="1134"/>
          <w:pgNumType w:fmt="decimal"/>
          <w:formProt w:val="false"/>
          <w:textDirection w:val="lrTb"/>
          <w:docGrid w:type="default" w:linePitch="312" w:charSpace="0"/>
        </w:sectPr>
      </w:pPr>
    </w:p>
    <w:p>
      <w:pPr>
        <w:pStyle w:val="Normal"/>
        <w:widowControl/>
        <w:suppressAutoHyphens w:val="true"/>
        <w:bidi w:val="0"/>
        <w:spacing w:lineRule="auto" w:line="360" w:before="0" w:after="0"/>
        <w:ind w:firstLine="567"/>
        <w:jc w:val="both"/>
        <w:rPr/>
      </w:pPr>
      <w:r>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widowControl/>
        <w:suppressAutoHyphens w:val="true"/>
        <w:bidi w:val="0"/>
        <w:spacing w:lineRule="auto" w:line="240" w:before="0" w:after="0"/>
        <w:ind w:hanging="0"/>
        <w:jc w:val="both"/>
        <w:rPr>
          <w:sz w:val="24"/>
          <w:szCs w:val="24"/>
        </w:rPr>
      </w:pPr>
      <w:r>
        <w:rPr>
          <w:sz w:val="24"/>
          <w:szCs w:val="24"/>
        </w:rPr>
      </w:r>
    </w:p>
    <w:p>
      <w:pPr>
        <w:sectPr>
          <w:footnotePr>
            <w:numFmt w:val="decimal"/>
          </w:footnotePr>
          <w:type w:val="continuous"/>
          <w:pgSz w:w="11906" w:h="16838"/>
          <w:pgMar w:left="1418" w:right="851" w:gutter="0" w:header="0" w:top="709" w:footer="0" w:bottom="1134"/>
          <w:formProt w:val="false"/>
          <w:textDirection w:val="lrTb"/>
          <w:docGrid w:type="default" w:linePitch="312" w:charSpace="0"/>
        </w:sectPr>
      </w:pPr>
    </w:p>
    <w:p>
      <w:pPr>
        <w:pStyle w:val="Normal"/>
        <w:widowControl/>
        <w:suppressAutoHyphens w:val="true"/>
        <w:bidi w:val="0"/>
        <w:snapToGrid w:val="true"/>
        <w:spacing w:lineRule="auto" w:line="240" w:before="0" w:after="0"/>
        <w:ind w:hanging="0"/>
        <w:jc w:val="left"/>
        <w:rPr>
          <w:sz w:val="24"/>
          <w:szCs w:val="24"/>
        </w:rPr>
      </w:pPr>
      <w:r>
        <w:rPr>
          <w:sz w:val="24"/>
          <w:szCs w:val="24"/>
        </w:rPr>
      </w:r>
      <w:r>
        <w:br w:type="page"/>
      </w:r>
    </w:p>
    <w:p>
      <w:pPr>
        <w:pStyle w:val="Normal"/>
        <w:snapToGrid w:val="false"/>
        <w:spacing w:lineRule="auto" w:line="240"/>
        <w:ind w:firstLine="5387"/>
        <w:jc w:val="right"/>
        <w:rPr/>
      </w:pPr>
      <w:r>
        <w:rPr>
          <w:sz w:val="22"/>
          <w:szCs w:val="22"/>
        </w:rPr>
        <w:t>Приложение №11</w:t>
      </w:r>
    </w:p>
    <w:p>
      <w:pPr>
        <w:pStyle w:val="Normal"/>
        <w:snapToGrid w:val="false"/>
        <w:spacing w:lineRule="auto" w:line="240"/>
        <w:ind w:firstLine="5387"/>
        <w:jc w:val="right"/>
        <w:rPr/>
      </w:pPr>
      <w:r>
        <w:rPr>
          <w:sz w:val="22"/>
          <w:szCs w:val="22"/>
        </w:rPr>
        <w:t>к Договору подряда</w:t>
      </w:r>
    </w:p>
    <w:p>
      <w:pPr>
        <w:pStyle w:val="Normal"/>
        <w:snapToGrid w:val="false"/>
        <w:spacing w:lineRule="auto" w:line="240"/>
        <w:ind w:firstLine="5387"/>
        <w:jc w:val="right"/>
        <w:rPr/>
      </w:pPr>
      <w:r>
        <w:rPr>
          <w:sz w:val="22"/>
          <w:szCs w:val="22"/>
        </w:rPr>
        <w:t>от «____» __________ 2026 г. № ____</w:t>
      </w:r>
    </w:p>
    <w:p>
      <w:pPr>
        <w:pStyle w:val="Normal"/>
        <w:spacing w:lineRule="auto" w:line="240"/>
        <w:ind w:hanging="0"/>
        <w:jc w:val="right"/>
        <w:rPr>
          <w:sz w:val="24"/>
          <w:szCs w:val="24"/>
        </w:rPr>
      </w:pPr>
      <w:r>
        <w:rPr>
          <w:sz w:val="24"/>
          <w:szCs w:val="24"/>
        </w:rPr>
      </w:r>
    </w:p>
    <w:p>
      <w:pPr>
        <w:pStyle w:val="Normal"/>
        <w:tabs>
          <w:tab w:val="clear" w:pos="709"/>
          <w:tab w:val="left" w:pos="1134" w:leader="none"/>
        </w:tabs>
        <w:spacing w:lineRule="auto" w:line="240"/>
        <w:jc w:val="center"/>
        <w:rPr>
          <w:b/>
          <w:sz w:val="24"/>
          <w:szCs w:val="24"/>
        </w:rPr>
      </w:pPr>
      <w:r>
        <w:rPr>
          <w:b/>
          <w:sz w:val="24"/>
          <w:szCs w:val="24"/>
        </w:rPr>
        <w:t>Критерии отбора Банков-Гарантов</w:t>
      </w:r>
    </w:p>
    <w:p>
      <w:pPr>
        <w:pStyle w:val="Normal"/>
        <w:tabs>
          <w:tab w:val="clear" w:pos="709"/>
          <w:tab w:val="left" w:pos="1134" w:leader="none"/>
        </w:tabs>
        <w:spacing w:lineRule="auto" w:line="240"/>
        <w:jc w:val="center"/>
        <w:rPr>
          <w:b/>
          <w:sz w:val="24"/>
          <w:szCs w:val="24"/>
        </w:rPr>
      </w:pPr>
      <w:r>
        <w:rPr>
          <w:b/>
          <w:sz w:val="24"/>
          <w:szCs w:val="24"/>
        </w:rPr>
      </w:r>
    </w:p>
    <w:p>
      <w:pPr>
        <w:pStyle w:val="Normal"/>
        <w:tabs>
          <w:tab w:val="clear" w:pos="709"/>
          <w:tab w:val="left" w:pos="1134" w:leader="none"/>
        </w:tabs>
        <w:spacing w:lineRule="auto" w:line="240"/>
        <w:ind w:firstLine="709"/>
        <w:rPr>
          <w:sz w:val="24"/>
          <w:szCs w:val="24"/>
        </w:rPr>
      </w:pPr>
      <w:r>
        <w:rPr>
          <w:sz w:val="24"/>
          <w:szCs w:val="24"/>
        </w:rPr>
        <w:t>Банк-Гарант (кредитная организация), выдающий банковскую гарантию, должен входить в перечень Банков-Гарантов Группы РусГидро</w:t>
      </w:r>
      <w:r>
        <w:rPr>
          <w:rStyle w:val="FootnoteReference"/>
          <w:sz w:val="24"/>
          <w:szCs w:val="24"/>
        </w:rPr>
        <w:footnoteReference w:id="23"/>
      </w:r>
      <w:r>
        <w:rPr>
          <w:sz w:val="24"/>
          <w:szCs w:val="24"/>
        </w:rPr>
        <w:t>, а также соответствовать следующим критериям:</w:t>
      </w:r>
    </w:p>
    <w:p>
      <w:pPr>
        <w:pStyle w:val="Normal"/>
        <w:numPr>
          <w:ilvl w:val="1"/>
          <w:numId w:val="33"/>
        </w:numPr>
        <w:tabs>
          <w:tab w:val="clear" w:pos="709"/>
          <w:tab w:val="left" w:pos="1134" w:leader="none"/>
        </w:tabs>
        <w:spacing w:lineRule="auto" w:line="240"/>
        <w:ind w:left="0" w:firstLine="710"/>
        <w:rPr>
          <w:sz w:val="24"/>
          <w:szCs w:val="24"/>
        </w:rPr>
      </w:pPr>
      <w:r>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pPr>
        <w:pStyle w:val="Normal"/>
        <w:numPr>
          <w:ilvl w:val="1"/>
          <w:numId w:val="33"/>
        </w:numPr>
        <w:tabs>
          <w:tab w:val="clear" w:pos="709"/>
          <w:tab w:val="left" w:pos="1134" w:leader="none"/>
        </w:tabs>
        <w:spacing w:lineRule="auto" w:line="240"/>
        <w:ind w:left="0" w:firstLine="710"/>
        <w:rPr>
          <w:sz w:val="24"/>
          <w:szCs w:val="24"/>
        </w:rPr>
      </w:pPr>
      <w:r>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pPr>
        <w:pStyle w:val="Normal"/>
        <w:numPr>
          <w:ilvl w:val="1"/>
          <w:numId w:val="33"/>
        </w:numPr>
        <w:tabs>
          <w:tab w:val="clear" w:pos="709"/>
          <w:tab w:val="left" w:pos="1134" w:leader="none"/>
        </w:tabs>
        <w:spacing w:lineRule="auto" w:line="240"/>
        <w:ind w:left="0" w:firstLine="710"/>
        <w:rPr>
          <w:sz w:val="24"/>
          <w:szCs w:val="24"/>
        </w:rPr>
      </w:pPr>
      <w:r>
        <w:rPr>
          <w:sz w:val="24"/>
          <w:szCs w:val="24"/>
        </w:rPr>
        <w:t>Иметь собственные средства (капитал) в размере не менее 25 млрд. рублей на 01 января текущего календарного года по данным отчетности (в соответствии с кодом формы по ОКУД 0409123</w:t>
      </w:r>
      <w:r>
        <w:rPr>
          <w:rFonts w:eastAsia="Times New Roman" w:cs="Times New Roman"/>
          <w:color w:val="auto"/>
          <w:kern w:val="0"/>
          <w:sz w:val="24"/>
          <w:szCs w:val="24"/>
          <w:lang w:val="ru-RU" w:eastAsia="ru-RU" w:bidi="ar-SA"/>
        </w:rPr>
        <w:t xml:space="preserve"> «Расчет собственных средств (капитала) («Базель III») либо кодом формы по ОКУД 0409808 «Отчет об уровне достаточности капитала для покрытия рисков (публикуемая форма)»)</w:t>
      </w:r>
      <w:r>
        <w:rPr>
          <w:sz w:val="24"/>
          <w:szCs w:val="24"/>
        </w:rPr>
        <w:t>, опубликованной в информационно-телекоммуникационной сети «Интернет» (</w:t>
      </w:r>
      <w:hyperlink r:id="rId14">
        <w:r>
          <w:rPr>
            <w:rStyle w:val="Hyperlink"/>
            <w:rFonts w:eastAsia="Times New Roman" w:cs="Times New Roman"/>
            <w:color w:val="auto"/>
            <w:sz w:val="24"/>
            <w:szCs w:val="24"/>
            <w:lang w:val="ru-RU" w:eastAsia="ru-RU" w:bidi="ar-SA"/>
          </w:rPr>
          <w:t>www.cbr.ru</w:t>
        </w:r>
      </w:hyperlink>
      <w:r>
        <w:rPr>
          <w:sz w:val="24"/>
          <w:szCs w:val="24"/>
        </w:rPr>
        <w:t xml:space="preserve">) на официальных сайтах ЦБ РФ и/ или кредитной организации либо представленной кредитной </w:t>
      </w:r>
      <w:r>
        <w:rPr>
          <w:rFonts w:eastAsia="Times New Roman" w:cs="Times New Roman"/>
          <w:color w:val="auto"/>
          <w:kern w:val="0"/>
          <w:sz w:val="24"/>
          <w:szCs w:val="24"/>
          <w:lang w:val="ru-RU" w:eastAsia="ru-RU" w:bidi="ar-SA"/>
        </w:rPr>
        <w:t>организации</w:t>
      </w:r>
      <w:r>
        <w:rPr>
          <w:sz w:val="24"/>
          <w:szCs w:val="24"/>
        </w:rPr>
        <w:t xml:space="preserve"> Заказчику.</w:t>
      </w:r>
    </w:p>
    <w:p>
      <w:pPr>
        <w:pStyle w:val="Normal"/>
        <w:numPr>
          <w:ilvl w:val="1"/>
          <w:numId w:val="33"/>
        </w:numPr>
        <w:tabs>
          <w:tab w:val="clear" w:pos="709"/>
          <w:tab w:val="left" w:pos="1134" w:leader="none"/>
        </w:tabs>
        <w:spacing w:lineRule="auto" w:line="240"/>
        <w:ind w:left="0" w:firstLine="710"/>
        <w:rPr>
          <w:sz w:val="24"/>
          <w:szCs w:val="24"/>
        </w:rPr>
      </w:pPr>
      <w:r>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Pr>
          <w:rStyle w:val="FootnoteReference"/>
          <w:sz w:val="24"/>
          <w:szCs w:val="24"/>
        </w:rPr>
        <w:footnoteReference w:id="24"/>
      </w:r>
      <w:r>
        <w:rPr>
          <w:sz w:val="24"/>
          <w:szCs w:val="24"/>
        </w:rPr>
        <w:t xml:space="preserve">. </w:t>
      </w:r>
    </w:p>
    <w:p>
      <w:pPr>
        <w:pStyle w:val="Normal"/>
        <w:numPr>
          <w:ilvl w:val="1"/>
          <w:numId w:val="33"/>
        </w:numPr>
        <w:tabs>
          <w:tab w:val="clear" w:pos="709"/>
          <w:tab w:val="left" w:pos="1134" w:leader="none"/>
        </w:tabs>
        <w:spacing w:lineRule="auto" w:line="240"/>
        <w:ind w:left="0" w:firstLine="710"/>
        <w:rPr>
          <w:sz w:val="24"/>
          <w:szCs w:val="24"/>
        </w:rPr>
      </w:pPr>
      <w:r>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Pr>
          <w:rStyle w:val="FootnoteReference"/>
          <w:sz w:val="24"/>
          <w:szCs w:val="24"/>
        </w:rPr>
        <w:footnoteReference w:id="25"/>
      </w:r>
      <w:r>
        <w:rPr>
          <w:sz w:val="24"/>
          <w:szCs w:val="24"/>
        </w:rPr>
        <w:t>.</w:t>
      </w:r>
    </w:p>
    <w:p>
      <w:pPr>
        <w:pStyle w:val="Normal"/>
        <w:numPr>
          <w:ilvl w:val="1"/>
          <w:numId w:val="33"/>
        </w:numPr>
        <w:tabs>
          <w:tab w:val="clear" w:pos="709"/>
          <w:tab w:val="left" w:pos="1134" w:leader="none"/>
        </w:tabs>
        <w:spacing w:lineRule="auto" w:line="240"/>
        <w:ind w:left="0" w:firstLine="710"/>
        <w:rPr>
          <w:sz w:val="24"/>
          <w:szCs w:val="24"/>
        </w:rPr>
      </w:pPr>
      <w:r>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pPr>
        <w:pStyle w:val="Normal"/>
        <w:numPr>
          <w:ilvl w:val="1"/>
          <w:numId w:val="33"/>
        </w:numPr>
        <w:tabs>
          <w:tab w:val="clear" w:pos="709"/>
          <w:tab w:val="left" w:pos="1134" w:leader="none"/>
        </w:tabs>
        <w:spacing w:lineRule="auto" w:line="240"/>
        <w:ind w:left="0" w:firstLine="710"/>
        <w:rPr>
          <w:sz w:val="24"/>
          <w:szCs w:val="24"/>
        </w:rPr>
      </w:pPr>
      <w:r>
        <w:rPr>
          <w:sz w:val="24"/>
          <w:szCs w:val="24"/>
        </w:rPr>
        <w:t>Не иметь просроченную задолженность перед Обществом и компаниями Группы РусГидро.</w:t>
      </w:r>
    </w:p>
    <w:p>
      <w:pPr>
        <w:pStyle w:val="Normal"/>
        <w:numPr>
          <w:ilvl w:val="1"/>
          <w:numId w:val="33"/>
        </w:numPr>
        <w:tabs>
          <w:tab w:val="clear" w:pos="709"/>
          <w:tab w:val="left" w:pos="1134" w:leader="none"/>
        </w:tabs>
        <w:spacing w:lineRule="auto" w:line="240"/>
        <w:ind w:left="0" w:firstLine="710"/>
        <w:rPr>
          <w:sz w:val="24"/>
          <w:szCs w:val="24"/>
        </w:rPr>
      </w:pPr>
      <w:r>
        <w:rPr>
          <w:sz w:val="24"/>
          <w:szCs w:val="24"/>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Pr>
          <w:rStyle w:val="FootnoteReference"/>
          <w:sz w:val="24"/>
          <w:szCs w:val="24"/>
        </w:rPr>
        <w:footnoteReference w:id="26"/>
      </w:r>
      <w:r>
        <w:rPr>
          <w:sz w:val="24"/>
          <w:szCs w:val="24"/>
        </w:rPr>
        <w:t>.</w:t>
      </w:r>
    </w:p>
    <w:p>
      <w:pPr>
        <w:pStyle w:val="Normal"/>
        <w:numPr>
          <w:ilvl w:val="1"/>
          <w:numId w:val="33"/>
        </w:numPr>
        <w:tabs>
          <w:tab w:val="clear" w:pos="709"/>
          <w:tab w:val="left" w:pos="1134" w:leader="none"/>
        </w:tabs>
        <w:spacing w:lineRule="auto" w:line="240"/>
        <w:ind w:left="0" w:firstLine="710"/>
        <w:rPr>
          <w:sz w:val="24"/>
          <w:szCs w:val="24"/>
        </w:rPr>
      </w:pPr>
      <w:r>
        <w:rPr>
          <w:sz w:val="24"/>
          <w:szCs w:val="24"/>
        </w:rPr>
        <w:t>Требования, установленные пунктами 2 – 4 настоящих Критериев, не распространяются на кредитные организации:</w:t>
      </w:r>
    </w:p>
    <w:p>
      <w:pPr>
        <w:pStyle w:val="Normal"/>
        <w:numPr>
          <w:ilvl w:val="1"/>
          <w:numId w:val="34"/>
        </w:numPr>
        <w:tabs>
          <w:tab w:val="clear" w:pos="709"/>
          <w:tab w:val="left" w:pos="1134" w:leader="none"/>
        </w:tabs>
        <w:spacing w:lineRule="auto" w:line="240"/>
        <w:ind w:left="0" w:firstLine="709"/>
        <w:rPr>
          <w:sz w:val="24"/>
          <w:szCs w:val="24"/>
        </w:rPr>
      </w:pPr>
      <w:r>
        <w:rPr>
          <w:sz w:val="24"/>
          <w:szCs w:val="24"/>
        </w:rPr>
        <w:t xml:space="preserve"> </w:t>
      </w:r>
      <w:r>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pPr>
        <w:pStyle w:val="Normal"/>
        <w:numPr>
          <w:ilvl w:val="1"/>
          <w:numId w:val="34"/>
        </w:numPr>
        <w:tabs>
          <w:tab w:val="clear" w:pos="709"/>
          <w:tab w:val="left" w:pos="1134" w:leader="none"/>
        </w:tabs>
        <w:spacing w:lineRule="auto" w:line="240"/>
        <w:ind w:left="0" w:firstLine="709"/>
        <w:rPr>
          <w:sz w:val="24"/>
          <w:szCs w:val="24"/>
        </w:rPr>
      </w:pPr>
      <w:r>
        <w:rPr>
          <w:sz w:val="24"/>
          <w:szCs w:val="24"/>
        </w:rPr>
        <w:t xml:space="preserve"> </w:t>
      </w:r>
      <w:r>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pPr>
        <w:pStyle w:val="Normal"/>
        <w:numPr>
          <w:ilvl w:val="1"/>
          <w:numId w:val="34"/>
        </w:numPr>
        <w:tabs>
          <w:tab w:val="clear" w:pos="709"/>
          <w:tab w:val="left" w:pos="1134" w:leader="none"/>
        </w:tabs>
        <w:spacing w:lineRule="auto" w:line="240"/>
        <w:ind w:left="0" w:firstLine="709"/>
        <w:rPr>
          <w:sz w:val="24"/>
          <w:szCs w:val="24"/>
        </w:rPr>
      </w:pPr>
      <w:r>
        <w:rPr>
          <w:sz w:val="24"/>
          <w:szCs w:val="24"/>
        </w:rPr>
        <w:t xml:space="preserve"> </w:t>
      </w:r>
      <w:r>
        <w:rPr>
          <w:sz w:val="24"/>
          <w:szCs w:val="24"/>
        </w:rPr>
        <w:t>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pPr>
        <w:pStyle w:val="Normal"/>
        <w:numPr>
          <w:ilvl w:val="1"/>
          <w:numId w:val="34"/>
        </w:numPr>
        <w:tabs>
          <w:tab w:val="clear" w:pos="709"/>
          <w:tab w:val="left" w:pos="1134" w:leader="none"/>
        </w:tabs>
        <w:spacing w:lineRule="auto" w:line="240"/>
        <w:ind w:left="0" w:firstLine="709"/>
        <w:rPr>
          <w:sz w:val="24"/>
          <w:szCs w:val="24"/>
        </w:rPr>
      </w:pPr>
      <w:r>
        <w:rPr>
          <w:sz w:val="24"/>
          <w:szCs w:val="24"/>
        </w:rPr>
        <w:t xml:space="preserve"> </w:t>
      </w:r>
      <w:r>
        <w:rPr>
          <w:sz w:val="24"/>
          <w:szCs w:val="24"/>
        </w:rPr>
        <w:t>ВЭБ.РФ.</w:t>
      </w:r>
    </w:p>
    <w:p>
      <w:pPr>
        <w:pStyle w:val="Normal"/>
        <w:numPr>
          <w:ilvl w:val="1"/>
          <w:numId w:val="34"/>
        </w:numPr>
        <w:tabs>
          <w:tab w:val="clear" w:pos="709"/>
          <w:tab w:val="left" w:pos="1134" w:leader="none"/>
        </w:tabs>
        <w:spacing w:lineRule="auto" w:line="240"/>
        <w:ind w:left="0" w:right="0" w:firstLine="709"/>
        <w:rPr>
          <w:sz w:val="24"/>
          <w:szCs w:val="24"/>
        </w:rPr>
      </w:pPr>
      <w:r>
        <w:rPr>
          <w:sz w:val="24"/>
          <w:szCs w:val="24"/>
        </w:rPr>
        <w:t>Нерезидентов Российской Федерации.</w:t>
      </w:r>
    </w:p>
    <w:p>
      <w:pPr>
        <w:pStyle w:val="Normal"/>
        <w:numPr>
          <w:ilvl w:val="1"/>
          <w:numId w:val="33"/>
        </w:numPr>
        <w:tabs>
          <w:tab w:val="clear" w:pos="709"/>
          <w:tab w:val="left" w:pos="1134" w:leader="none"/>
        </w:tabs>
        <w:spacing w:lineRule="auto" w:line="240"/>
        <w:ind w:left="0" w:firstLine="710"/>
        <w:rPr>
          <w:sz w:val="24"/>
          <w:szCs w:val="24"/>
        </w:rPr>
      </w:pPr>
      <w:r>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pPr>
        <w:pStyle w:val="Normal"/>
        <w:tabs>
          <w:tab w:val="clear" w:pos="709"/>
          <w:tab w:val="left" w:pos="1134" w:leader="none"/>
        </w:tabs>
        <w:spacing w:lineRule="auto" w:line="240"/>
        <w:ind w:firstLine="709"/>
        <w:jc w:val="center"/>
        <w:rPr>
          <w:sz w:val="24"/>
          <w:szCs w:val="24"/>
        </w:rPr>
      </w:pPr>
      <w:r>
        <w:rPr>
          <w:sz w:val="24"/>
          <w:szCs w:val="24"/>
        </w:rPr>
      </w:r>
    </w:p>
    <w:p>
      <w:pPr>
        <w:pStyle w:val="Normal"/>
        <w:tabs>
          <w:tab w:val="clear" w:pos="709"/>
          <w:tab w:val="left" w:pos="1134" w:leader="none"/>
        </w:tabs>
        <w:spacing w:lineRule="auto" w:line="240"/>
        <w:ind w:firstLine="709"/>
        <w:jc w:val="center"/>
        <w:rPr>
          <w:sz w:val="24"/>
          <w:szCs w:val="24"/>
        </w:rPr>
      </w:pPr>
      <w:r>
        <w:rPr>
          <w:b/>
          <w:i/>
          <w:sz w:val="24"/>
          <w:szCs w:val="24"/>
        </w:rPr>
        <w:t>Lim</w:t>
      </w:r>
      <w:r>
        <w:rPr>
          <w:b/>
          <w:i/>
          <w:sz w:val="24"/>
          <w:szCs w:val="24"/>
          <w:vertAlign w:val="subscript"/>
        </w:rPr>
        <w:t>Ai</w:t>
      </w:r>
      <w:r>
        <w:rPr>
          <w:b/>
          <w:i/>
          <w:sz w:val="24"/>
          <w:szCs w:val="24"/>
        </w:rPr>
        <w:t xml:space="preserve">  = r</w:t>
      </w:r>
      <w:r>
        <w:rPr>
          <w:b/>
          <w:i/>
          <w:sz w:val="24"/>
          <w:szCs w:val="24"/>
          <w:vertAlign w:val="subscript"/>
        </w:rPr>
        <w:t>i</w:t>
      </w:r>
      <w:r>
        <w:rPr>
          <w:b/>
          <w:i/>
          <w:sz w:val="24"/>
          <w:szCs w:val="24"/>
        </w:rPr>
        <w:t xml:space="preserve"> × СK</w:t>
      </w:r>
      <w:r>
        <w:rPr>
          <w:b/>
          <w:i/>
          <w:sz w:val="24"/>
          <w:szCs w:val="24"/>
          <w:vertAlign w:val="subscript"/>
        </w:rPr>
        <w:t>i</w:t>
      </w:r>
      <w:r>
        <w:rPr>
          <w:sz w:val="24"/>
          <w:szCs w:val="24"/>
        </w:rPr>
        <w:t>, где</w:t>
      </w:r>
    </w:p>
    <w:p>
      <w:pPr>
        <w:pStyle w:val="Normal"/>
        <w:tabs>
          <w:tab w:val="clear" w:pos="709"/>
          <w:tab w:val="left" w:pos="1134" w:leader="none"/>
        </w:tabs>
        <w:spacing w:lineRule="auto" w:line="240"/>
        <w:ind w:firstLine="709"/>
        <w:jc w:val="center"/>
        <w:rPr>
          <w:sz w:val="24"/>
          <w:szCs w:val="24"/>
        </w:rPr>
      </w:pPr>
      <w:r>
        <w:rPr>
          <w:sz w:val="24"/>
          <w:szCs w:val="24"/>
        </w:rPr>
      </w:r>
    </w:p>
    <w:tbl>
      <w:tblPr>
        <w:tblW w:w="9606"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817"/>
        <w:gridCol w:w="280"/>
        <w:gridCol w:w="8509"/>
      </w:tblGrid>
      <w:tr>
        <w:trPr>
          <w:trHeight w:val="426" w:hRule="atLeast"/>
        </w:trPr>
        <w:tc>
          <w:tcPr>
            <w:tcW w:w="817" w:type="dxa"/>
            <w:tcBorders/>
            <w:shd w:color="auto" w:fill="auto" w:val="clear"/>
          </w:tcPr>
          <w:p>
            <w:pPr>
              <w:pStyle w:val="Normal"/>
              <w:widowControl w:val="false"/>
              <w:spacing w:lineRule="auto" w:line="240"/>
              <w:ind w:left="0" w:right="-108" w:hanging="0"/>
              <w:rPr>
                <w:color w:val="000000"/>
                <w:sz w:val="24"/>
                <w:szCs w:val="24"/>
              </w:rPr>
            </w:pPr>
            <w:r>
              <w:rPr>
                <w:b/>
                <w:i/>
                <w:color w:val="000000"/>
                <w:sz w:val="24"/>
                <w:szCs w:val="24"/>
              </w:rPr>
              <w:t>Lim</w:t>
            </w:r>
            <w:r>
              <w:rPr>
                <w:b/>
                <w:i/>
                <w:color w:val="000000"/>
                <w:sz w:val="24"/>
                <w:szCs w:val="24"/>
                <w:vertAlign w:val="subscript"/>
                <w:lang w:val="en-US"/>
              </w:rPr>
              <w:t xml:space="preserve">Ai </w:t>
            </w:r>
          </w:p>
        </w:tc>
        <w:tc>
          <w:tcPr>
            <w:tcW w:w="280" w:type="dxa"/>
            <w:tcBorders/>
            <w:shd w:color="auto" w:fill="auto" w:val="clear"/>
          </w:tcPr>
          <w:p>
            <w:pPr>
              <w:pStyle w:val="Normal"/>
              <w:widowControl w:val="false"/>
              <w:spacing w:lineRule="auto" w:line="240"/>
              <w:ind w:left="317" w:right="-108" w:hanging="317"/>
              <w:rPr>
                <w:color w:val="000000"/>
                <w:sz w:val="24"/>
                <w:szCs w:val="24"/>
              </w:rPr>
            </w:pPr>
            <w:r>
              <w:rPr>
                <w:sz w:val="24"/>
                <w:szCs w:val="24"/>
              </w:rPr>
              <w:t xml:space="preserve">-  </w:t>
            </w:r>
          </w:p>
        </w:tc>
        <w:tc>
          <w:tcPr>
            <w:tcW w:w="8509" w:type="dxa"/>
            <w:tcBorders/>
            <w:shd w:color="auto" w:fill="auto" w:val="clear"/>
          </w:tcPr>
          <w:p>
            <w:pPr>
              <w:pStyle w:val="Normal"/>
              <w:widowControl w:val="false"/>
              <w:spacing w:lineRule="auto" w:line="240"/>
              <w:ind w:left="-75" w:right="-108" w:firstLine="567"/>
              <w:rPr>
                <w:color w:val="000000"/>
                <w:sz w:val="24"/>
                <w:szCs w:val="24"/>
              </w:rPr>
            </w:pPr>
            <w:r>
              <w:rPr>
                <w:rFonts w:eastAsia="Times New Roman" w:cs="Times New Roman"/>
                <w:sz w:val="24"/>
                <w:szCs w:val="24"/>
                <w:lang w:eastAsia="ru-RU"/>
              </w:rPr>
              <w:t>Лимит риска для i-ой кредитной организации</w:t>
            </w:r>
            <w:r>
              <w:rPr>
                <w:rStyle w:val="FootnoteReference"/>
                <w:rFonts w:eastAsia="Times New Roman" w:cs="Times New Roman"/>
                <w:sz w:val="24"/>
                <w:szCs w:val="24"/>
                <w:lang w:eastAsia="ru-RU"/>
              </w:rPr>
              <w:footnoteReference w:id="27"/>
            </w:r>
            <w:r>
              <w:rPr>
                <w:rFonts w:eastAsia="Times New Roman" w:cs="Times New Roman"/>
                <w:sz w:val="24"/>
                <w:szCs w:val="24"/>
                <w:lang w:eastAsia="ru-RU"/>
              </w:rPr>
              <w:t>.</w:t>
            </w:r>
          </w:p>
        </w:tc>
      </w:tr>
      <w:tr>
        <w:trPr>
          <w:trHeight w:val="280" w:hRule="atLeast"/>
        </w:trPr>
        <w:tc>
          <w:tcPr>
            <w:tcW w:w="817" w:type="dxa"/>
            <w:tcBorders/>
            <w:shd w:color="auto" w:fill="auto" w:val="clear"/>
          </w:tcPr>
          <w:p>
            <w:pPr>
              <w:pStyle w:val="Normal"/>
              <w:widowControl w:val="false"/>
              <w:spacing w:lineRule="auto" w:line="240"/>
              <w:ind w:left="0" w:right="-108" w:hanging="0"/>
              <w:rPr>
                <w:b/>
                <w:i/>
                <w:i/>
                <w:color w:val="000000"/>
                <w:sz w:val="24"/>
                <w:szCs w:val="24"/>
                <w:vertAlign w:val="subscript"/>
              </w:rPr>
            </w:pPr>
            <w:r>
              <w:rPr>
                <w:b/>
                <w:i/>
                <w:color w:val="000000"/>
                <w:sz w:val="24"/>
                <w:szCs w:val="24"/>
              </w:rPr>
              <w:t>С</w:t>
            </w:r>
            <w:r>
              <w:rPr>
                <w:b/>
                <w:i/>
                <w:color w:val="000000"/>
                <w:sz w:val="24"/>
                <w:szCs w:val="24"/>
                <w:lang w:val="en-US"/>
              </w:rPr>
              <w:t>K</w:t>
            </w:r>
            <w:r>
              <w:rPr>
                <w:b/>
                <w:i/>
                <w:color w:val="000000"/>
                <w:sz w:val="24"/>
                <w:szCs w:val="24"/>
                <w:vertAlign w:val="subscript"/>
                <w:lang w:val="en-US"/>
              </w:rPr>
              <w:t>i</w:t>
            </w:r>
          </w:p>
          <w:p>
            <w:pPr>
              <w:pStyle w:val="Normal"/>
              <w:widowControl w:val="false"/>
              <w:spacing w:lineRule="auto" w:line="240"/>
              <w:ind w:left="0" w:right="-108" w:firstLine="567"/>
              <w:rPr>
                <w:color w:val="000000"/>
                <w:sz w:val="24"/>
                <w:szCs w:val="24"/>
              </w:rPr>
            </w:pPr>
            <w:r>
              <w:rPr>
                <w:color w:val="000000"/>
                <w:sz w:val="24"/>
                <w:szCs w:val="24"/>
              </w:rPr>
            </w:r>
          </w:p>
        </w:tc>
        <w:tc>
          <w:tcPr>
            <w:tcW w:w="280" w:type="dxa"/>
            <w:tcBorders/>
            <w:shd w:color="auto" w:fill="auto" w:val="clear"/>
          </w:tcPr>
          <w:p>
            <w:pPr>
              <w:pStyle w:val="Normal"/>
              <w:widowControl w:val="false"/>
              <w:spacing w:lineRule="auto" w:line="240"/>
              <w:ind w:left="0" w:right="-108" w:hanging="0"/>
              <w:rPr>
                <w:color w:val="000000"/>
                <w:sz w:val="24"/>
                <w:szCs w:val="24"/>
              </w:rPr>
            </w:pPr>
            <w:r>
              <w:rPr>
                <w:sz w:val="24"/>
                <w:szCs w:val="24"/>
              </w:rPr>
              <w:t>-</w:t>
            </w:r>
            <w:r>
              <w:rPr>
                <w:color w:val="000000"/>
                <w:sz w:val="24"/>
                <w:szCs w:val="24"/>
              </w:rPr>
              <w:t xml:space="preserve">  </w:t>
            </w:r>
          </w:p>
        </w:tc>
        <w:tc>
          <w:tcPr>
            <w:tcW w:w="8509" w:type="dxa"/>
            <w:tcBorders/>
            <w:shd w:color="auto" w:fill="auto" w:val="clear"/>
          </w:tcPr>
          <w:p>
            <w:pPr>
              <w:pStyle w:val="Normal"/>
              <w:widowControl w:val="false"/>
              <w:spacing w:lineRule="auto" w:line="240"/>
              <w:ind w:left="-75" w:right="-108" w:firstLine="567"/>
              <w:rPr>
                <w:color w:val="000000"/>
                <w:sz w:val="24"/>
                <w:szCs w:val="24"/>
              </w:rPr>
            </w:pPr>
            <w:r>
              <w:rPr>
                <w:rFonts w:eastAsia="Times New Roman" w:cs="Times New Roman"/>
                <w:sz w:val="24"/>
                <w:szCs w:val="24"/>
                <w:lang w:eastAsia="ru-RU"/>
              </w:rPr>
              <w:t xml:space="preserve">размер собственных средств (капитала) i-ой кредитной организации </w:t>
              <w:br/>
              <w:t xml:space="preserve">на 1 января текущего календарного года по данным отчетности </w:t>
              <w:br/>
              <w:t>(в соответствии с кодом формы по ОКУД 0409123 «Расчет собственных средств (капитала) («Базель III») либо кодом формы по ОКУД 0409808 «Отчет об уровне достаточности капитала для покрытия рисков (публикуемая форма)»), опубликованной в информационно-телекоммуникационной сети «Интернет» (</w:t>
            </w:r>
            <w:hyperlink r:id="rId15">
              <w:r>
                <w:rPr>
                  <w:rStyle w:val="Hyperlink"/>
                  <w:rFonts w:eastAsia="Times New Roman" w:cs="Times New Roman"/>
                  <w:sz w:val="24"/>
                  <w:szCs w:val="24"/>
                  <w:lang w:eastAsia="ru-RU"/>
                </w:rPr>
                <w:t>www.cbr.ru</w:t>
              </w:r>
            </w:hyperlink>
            <w:r>
              <w:rPr>
                <w:rFonts w:eastAsia="Times New Roman" w:cs="Times New Roman"/>
                <w:sz w:val="24"/>
                <w:szCs w:val="24"/>
                <w:lang w:eastAsia="ru-RU"/>
              </w:rPr>
              <w:t>) на официальных сайтах ЦБ РФ и / или кредитной организации либо представленной кредитной организацией Обществу;</w:t>
            </w:r>
          </w:p>
        </w:tc>
      </w:tr>
      <w:tr>
        <w:trPr>
          <w:trHeight w:val="993" w:hRule="atLeast"/>
        </w:trPr>
        <w:tc>
          <w:tcPr>
            <w:tcW w:w="817" w:type="dxa"/>
            <w:tcBorders/>
          </w:tcPr>
          <w:p>
            <w:pPr>
              <w:pStyle w:val="Normal"/>
              <w:widowControl w:val="false"/>
              <w:spacing w:lineRule="auto" w:line="240"/>
              <w:ind w:left="0" w:right="-108" w:hanging="0"/>
              <w:rPr>
                <w:b/>
                <w:i/>
                <w:i/>
                <w:color w:val="000000"/>
                <w:sz w:val="24"/>
                <w:szCs w:val="24"/>
              </w:rPr>
            </w:pPr>
            <w:r>
              <w:rPr>
                <w:b/>
                <w:i/>
                <w:color w:val="000000"/>
                <w:sz w:val="24"/>
                <w:szCs w:val="24"/>
              </w:rPr>
              <w:t>r</w:t>
            </w:r>
            <w:r>
              <w:rPr>
                <w:b/>
                <w:i/>
                <w:color w:val="000000"/>
                <w:sz w:val="24"/>
                <w:szCs w:val="24"/>
                <w:vertAlign w:val="subscript"/>
              </w:rPr>
              <w:t>i</w:t>
            </w:r>
          </w:p>
        </w:tc>
        <w:tc>
          <w:tcPr>
            <w:tcW w:w="280" w:type="dxa"/>
            <w:tcBorders/>
          </w:tcPr>
          <w:p>
            <w:pPr>
              <w:pStyle w:val="Normal"/>
              <w:widowControl w:val="false"/>
              <w:spacing w:lineRule="auto" w:line="240"/>
              <w:ind w:left="0" w:right="-108" w:hanging="0"/>
              <w:rPr>
                <w:sz w:val="24"/>
                <w:szCs w:val="24"/>
              </w:rPr>
            </w:pPr>
            <w:r>
              <w:rPr>
                <w:sz w:val="24"/>
                <w:szCs w:val="24"/>
              </w:rPr>
              <w:t>-</w:t>
            </w:r>
          </w:p>
        </w:tc>
        <w:tc>
          <w:tcPr>
            <w:tcW w:w="8509" w:type="dxa"/>
            <w:tcBorders/>
          </w:tcPr>
          <w:p>
            <w:pPr>
              <w:pStyle w:val="Normal"/>
              <w:widowControl w:val="false"/>
              <w:tabs>
                <w:tab w:val="left" w:pos="709" w:leader="none"/>
                <w:tab w:val="left" w:pos="851" w:leader="none"/>
              </w:tabs>
              <w:suppressAutoHyphens w:val="true"/>
              <w:overflowPunct w:val="false"/>
              <w:bidi w:val="0"/>
              <w:spacing w:lineRule="auto" w:line="240" w:before="0" w:after="0"/>
              <w:ind w:left="680" w:right="0" w:hanging="0"/>
              <w:jc w:val="both"/>
              <w:rPr/>
            </w:pPr>
            <w:r>
              <w:rPr>
                <w:rFonts w:eastAsia="Times New Roman" w:cs="Times New Roman"/>
                <w:sz w:val="24"/>
                <w:szCs w:val="24"/>
                <w:lang w:eastAsia="ru-RU"/>
              </w:rPr>
              <w:t>рейтинговый коэффициент</w:t>
            </w:r>
            <w:r>
              <w:rPr>
                <w:rStyle w:val="FootnoteReference"/>
                <w:rFonts w:eastAsia="Times New Roman" w:cs="Times New Roman"/>
                <w:sz w:val="24"/>
                <w:szCs w:val="24"/>
                <w:lang w:eastAsia="ru-RU"/>
              </w:rPr>
              <w:footnoteReference w:id="28"/>
            </w:r>
            <w:r>
              <w:rPr>
                <w:rFonts w:eastAsia="Times New Roman" w:cs="Times New Roman"/>
                <w:sz w:val="24"/>
                <w:szCs w:val="24"/>
                <w:lang w:eastAsia="ru-RU"/>
              </w:rPr>
              <w:t xml:space="preserve"> для i-ой кредитной организации, равный:</w:t>
            </w:r>
          </w:p>
          <w:p>
            <w:pPr>
              <w:pStyle w:val="Normal"/>
              <w:widowControl w:val="false"/>
              <w:tabs>
                <w:tab w:val="left" w:pos="709" w:leader="none"/>
                <w:tab w:val="left" w:pos="851" w:leader="none"/>
              </w:tabs>
              <w:spacing w:lineRule="auto" w:line="240" w:before="0" w:after="0"/>
              <w:ind w:left="0" w:right="-108" w:firstLine="709"/>
              <w:jc w:val="both"/>
              <w:rPr>
                <w:sz w:val="24"/>
                <w:szCs w:val="24"/>
              </w:rPr>
            </w:pPr>
            <w:r>
              <w:rPr>
                <w:rFonts w:eastAsia="Times New Roman" w:cs="Times New Roman"/>
                <w:b/>
                <w:sz w:val="24"/>
                <w:szCs w:val="24"/>
                <w:lang w:eastAsia="ru-RU"/>
              </w:rPr>
              <w:t>0,075</w:t>
            </w:r>
            <w:r>
              <w:rPr>
                <w:rFonts w:eastAsia="Times New Roman" w:cs="Times New Roman"/>
                <w:sz w:val="24"/>
                <w:szCs w:val="24"/>
                <w:lang w:eastAsia="ru-RU"/>
              </w:rPr>
              <w:t xml:space="preserve"> - если i-ая кредитная организация имеет национальный рейтинг кредитоспособности не ниже уровня </w:t>
            </w:r>
            <w:r>
              <w:rPr>
                <w:rFonts w:eastAsia="Times New Roman" w:cs="Times New Roman"/>
                <w:b/>
                <w:sz w:val="24"/>
                <w:szCs w:val="24"/>
                <w:lang w:eastAsia="ru-RU"/>
              </w:rPr>
              <w:t>«АА-»</w:t>
            </w:r>
            <w:r>
              <w:rPr>
                <w:rFonts w:eastAsia="Times New Roman" w:cs="Times New Roman"/>
                <w:sz w:val="24"/>
                <w:szCs w:val="24"/>
                <w:lang w:eastAsia="ru-RU"/>
              </w:rPr>
              <w:t xml:space="preserve">по классификации рейтингового агентства АКРА или не ниже уровня </w:t>
            </w:r>
            <w:r>
              <w:rPr>
                <w:rFonts w:eastAsia="Times New Roman" w:cs="Times New Roman"/>
                <w:b/>
                <w:sz w:val="24"/>
                <w:szCs w:val="24"/>
                <w:lang w:eastAsia="ru-RU"/>
              </w:rPr>
              <w:t>«</w:t>
            </w:r>
            <w:r>
              <w:rPr>
                <w:rFonts w:eastAsia="Times New Roman" w:cs="Times New Roman"/>
                <w:b/>
                <w:sz w:val="24"/>
                <w:szCs w:val="24"/>
                <w:lang w:val="en-US" w:eastAsia="ru-RU"/>
              </w:rPr>
              <w:t>ru</w:t>
            </w:r>
            <w:r>
              <w:rPr>
                <w:rFonts w:eastAsia="Times New Roman" w:cs="Times New Roman"/>
                <w:b/>
                <w:sz w:val="24"/>
                <w:szCs w:val="24"/>
                <w:lang w:eastAsia="ru-RU"/>
              </w:rPr>
              <w:t>А</w:t>
            </w:r>
            <w:r>
              <w:rPr>
                <w:rFonts w:eastAsia="Times New Roman" w:cs="Times New Roman"/>
                <w:b/>
                <w:sz w:val="24"/>
                <w:szCs w:val="24"/>
                <w:lang w:val="en-US" w:eastAsia="ru-RU"/>
              </w:rPr>
              <w:t>A</w:t>
            </w:r>
            <w:r>
              <w:rPr>
                <w:rFonts w:eastAsia="Times New Roman" w:cs="Times New Roman"/>
                <w:b/>
                <w:sz w:val="24"/>
                <w:szCs w:val="24"/>
                <w:lang w:eastAsia="ru-RU"/>
              </w:rPr>
              <w:t>-»</w:t>
            </w:r>
            <w:r>
              <w:rPr>
                <w:rFonts w:eastAsia="Times New Roman" w:cs="Times New Roman"/>
                <w:sz w:val="24"/>
                <w:szCs w:val="24"/>
                <w:lang w:eastAsia="ru-RU"/>
              </w:rPr>
              <w:t xml:space="preserve"> по классификации рейтингового агентства Эксперт РА;</w:t>
            </w:r>
          </w:p>
          <w:p>
            <w:pPr>
              <w:pStyle w:val="Normal"/>
              <w:widowControl w:val="false"/>
              <w:tabs>
                <w:tab w:val="left" w:pos="709" w:leader="none"/>
                <w:tab w:val="left" w:pos="851" w:leader="none"/>
              </w:tabs>
              <w:spacing w:lineRule="auto" w:line="240" w:before="0" w:after="0"/>
              <w:ind w:left="0" w:right="-108" w:firstLine="709"/>
              <w:jc w:val="both"/>
              <w:rPr>
                <w:sz w:val="24"/>
                <w:szCs w:val="24"/>
              </w:rPr>
            </w:pPr>
            <w:r>
              <w:rPr>
                <w:rFonts w:eastAsia="Times New Roman" w:cs="Times New Roman"/>
                <w:b/>
                <w:sz w:val="24"/>
                <w:szCs w:val="24"/>
                <w:lang w:eastAsia="ru-RU"/>
              </w:rPr>
              <w:t>0,05</w:t>
            </w:r>
            <w:r>
              <w:rPr>
                <w:rFonts w:eastAsia="Times New Roman" w:cs="Times New Roman"/>
                <w:sz w:val="24"/>
                <w:szCs w:val="24"/>
                <w:lang w:eastAsia="ru-RU"/>
              </w:rPr>
              <w:t xml:space="preserve"> - если i-ая кредитная организация имеет национальный рейтинг кредитоспособности не ниже уровня </w:t>
            </w:r>
            <w:r>
              <w:rPr>
                <w:rFonts w:eastAsia="Times New Roman" w:cs="Times New Roman"/>
                <w:b/>
                <w:sz w:val="24"/>
                <w:szCs w:val="24"/>
                <w:lang w:eastAsia="ru-RU"/>
              </w:rPr>
              <w:t>«А-»</w:t>
            </w:r>
            <w:r>
              <w:rPr>
                <w:rFonts w:eastAsia="Times New Roman" w:cs="Times New Roman"/>
                <w:sz w:val="24"/>
                <w:szCs w:val="24"/>
                <w:lang w:eastAsia="ru-RU"/>
              </w:rPr>
              <w:t xml:space="preserve"> по классификации рейтингового агентства АКРА или не ниже уровня </w:t>
            </w:r>
            <w:r>
              <w:rPr>
                <w:rFonts w:eastAsia="Times New Roman" w:cs="Times New Roman"/>
                <w:b/>
                <w:sz w:val="24"/>
                <w:szCs w:val="24"/>
                <w:lang w:eastAsia="ru-RU"/>
              </w:rPr>
              <w:t>«ruA-»</w:t>
            </w:r>
            <w:r>
              <w:rPr>
                <w:rFonts w:eastAsia="Times New Roman" w:cs="Times New Roman"/>
                <w:sz w:val="24"/>
                <w:szCs w:val="24"/>
                <w:lang w:eastAsia="ru-RU"/>
              </w:rPr>
              <w:t xml:space="preserve"> по классификации рейтингового агентства Эксперт РА;</w:t>
            </w:r>
          </w:p>
          <w:p>
            <w:pPr>
              <w:pStyle w:val="Normal"/>
              <w:widowControl w:val="false"/>
              <w:tabs>
                <w:tab w:val="clear" w:pos="709"/>
                <w:tab w:val="left" w:pos="7130" w:leader="none"/>
              </w:tabs>
              <w:spacing w:lineRule="auto" w:line="240"/>
              <w:ind w:left="0" w:right="-108" w:firstLine="567"/>
              <w:rPr>
                <w:sz w:val="24"/>
                <w:szCs w:val="24"/>
              </w:rPr>
            </w:pPr>
            <w:r>
              <w:rPr>
                <w:rFonts w:eastAsia="Times New Roman" w:cs="Times New Roman"/>
                <w:b/>
                <w:sz w:val="24"/>
                <w:szCs w:val="24"/>
                <w:lang w:eastAsia="ru-RU"/>
              </w:rPr>
              <w:t>0,025</w:t>
            </w:r>
            <w:r>
              <w:rPr>
                <w:rFonts w:eastAsia="Times New Roman" w:cs="Times New Roman"/>
                <w:sz w:val="24"/>
                <w:szCs w:val="24"/>
                <w:lang w:eastAsia="ru-RU"/>
              </w:rPr>
              <w:t xml:space="preserve"> - если i-ая кредитная организация имеет национальный рейтинг кредитоспособности не ниже уровня </w:t>
            </w:r>
            <w:r>
              <w:rPr>
                <w:rFonts w:eastAsia="Times New Roman" w:cs="Times New Roman"/>
                <w:b/>
                <w:sz w:val="24"/>
                <w:szCs w:val="24"/>
                <w:lang w:eastAsia="ru-RU"/>
              </w:rPr>
              <w:t>«</w:t>
            </w:r>
            <w:r>
              <w:rPr>
                <w:rFonts w:eastAsia="Times New Roman" w:cs="Times New Roman"/>
                <w:b/>
                <w:sz w:val="24"/>
                <w:szCs w:val="24"/>
                <w:lang w:val="en-US" w:eastAsia="ru-RU"/>
              </w:rPr>
              <w:t>BB</w:t>
            </w:r>
            <w:r>
              <w:rPr>
                <w:rFonts w:eastAsia="Times New Roman" w:cs="Times New Roman"/>
                <w:b/>
                <w:sz w:val="24"/>
                <w:szCs w:val="24"/>
                <w:lang w:eastAsia="ru-RU"/>
              </w:rPr>
              <w:t>В»</w:t>
            </w:r>
            <w:r>
              <w:rPr>
                <w:rFonts w:eastAsia="Times New Roman" w:cs="Times New Roman"/>
                <w:sz w:val="24"/>
                <w:szCs w:val="24"/>
                <w:lang w:eastAsia="ru-RU"/>
              </w:rPr>
              <w:t xml:space="preserve"> по классификации рейтингового агентства АКРА или не ниже уровня «</w:t>
            </w:r>
            <w:r>
              <w:rPr>
                <w:rFonts w:eastAsia="Times New Roman" w:cs="Times New Roman"/>
                <w:sz w:val="24"/>
                <w:szCs w:val="24"/>
                <w:lang w:val="en-US" w:eastAsia="ru-RU"/>
              </w:rPr>
              <w:t>ruBB</w:t>
            </w:r>
            <w:r>
              <w:rPr>
                <w:rFonts w:eastAsia="Times New Roman" w:cs="Times New Roman"/>
                <w:sz w:val="24"/>
                <w:szCs w:val="24"/>
                <w:lang w:eastAsia="ru-RU"/>
              </w:rPr>
              <w:t>В» по классификации рейтингового агентства Эксперт РА, а также находится в процессе финансового оздоровления (санации).</w:t>
            </w:r>
          </w:p>
        </w:tc>
      </w:tr>
    </w:tbl>
    <w:p>
      <w:pPr>
        <w:pStyle w:val="Normal"/>
        <w:spacing w:lineRule="auto" w:line="240"/>
        <w:ind w:firstLine="709"/>
        <w:jc w:val="center"/>
        <w:rPr>
          <w:b/>
          <w:sz w:val="24"/>
          <w:szCs w:val="24"/>
        </w:rPr>
      </w:pPr>
      <w:r>
        <w:rPr>
          <w:b/>
          <w:sz w:val="24"/>
          <w:szCs w:val="24"/>
        </w:rPr>
      </w:r>
    </w:p>
    <w:p>
      <w:pPr>
        <w:pStyle w:val="Normal"/>
        <w:spacing w:lineRule="auto" w:line="240"/>
        <w:ind w:firstLine="709"/>
        <w:jc w:val="center"/>
        <w:rPr>
          <w:b/>
          <w:sz w:val="24"/>
          <w:szCs w:val="24"/>
        </w:rPr>
      </w:pPr>
      <w:r>
        <w:rPr>
          <w:b/>
          <w:sz w:val="24"/>
          <w:szCs w:val="24"/>
        </w:rPr>
        <w:t>ПОДПИСИ СТОРОН:</w:t>
      </w:r>
    </w:p>
    <w:p>
      <w:pPr>
        <w:pStyle w:val="Normal"/>
        <w:spacing w:lineRule="auto" w:line="240"/>
        <w:ind w:firstLine="709"/>
        <w:jc w:val="center"/>
        <w:rPr>
          <w:b/>
          <w:sz w:val="24"/>
          <w:szCs w:val="24"/>
        </w:rPr>
      </w:pPr>
      <w:r>
        <w:rPr>
          <w:b/>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r>
          </w:p>
        </w:tc>
        <w:tc>
          <w:tcPr>
            <w:tcW w:w="4699" w:type="dxa"/>
            <w:tcBorders/>
          </w:tcPr>
          <w:p>
            <w:pPr>
              <w:pStyle w:val="Normal"/>
              <w:widowControl w:val="false"/>
              <w:spacing w:lineRule="auto" w:line="24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r>
              <w:rPr>
                <w:sz w:val="24"/>
              </w:rPr>
              <w:t xml:space="preserve">_______________ / </w:t>
            </w:r>
            <w:r>
              <w:rPr>
                <w:sz w:val="24"/>
              </w:rPr>
              <w:t>_____________</w:t>
            </w:r>
          </w:p>
        </w:tc>
        <w:tc>
          <w:tcPr>
            <w:tcW w:w="4699" w:type="dxa"/>
            <w:tcBorders/>
          </w:tcPr>
          <w:p>
            <w:pPr>
              <w:pStyle w:val="Normal"/>
              <w:widowControl w:val="false"/>
              <w:spacing w:lineRule="auto" w:line="240"/>
              <w:ind w:hanging="0"/>
              <w:jc w:val="left"/>
              <w:rPr>
                <w:sz w:val="24"/>
              </w:rPr>
            </w:pPr>
            <w:r>
              <w:rPr/>
              <w:t>‍</w:t>
            </w:r>
            <w:r>
              <w:rPr/>
              <w:t xml:space="preserve">_______________ / </w:t>
            </w:r>
            <w:r>
              <w:rPr/>
              <w:t>_____________</w:t>
            </w:r>
          </w:p>
        </w:tc>
      </w:tr>
    </w:tbl>
    <w:p>
      <w:pPr>
        <w:pStyle w:val="Normal"/>
        <w:spacing w:lineRule="auto" w:line="240"/>
        <w:ind w:firstLine="5954"/>
        <w:jc w:val="right"/>
        <w:rPr>
          <w:sz w:val="22"/>
        </w:rPr>
      </w:pPr>
      <w:r>
        <w:rPr>
          <w:sz w:val="22"/>
        </w:rPr>
      </w:r>
      <w:r>
        <w:br w:type="page"/>
      </w:r>
    </w:p>
    <w:p>
      <w:pPr>
        <w:pStyle w:val="Normal"/>
        <w:spacing w:lineRule="auto" w:line="240"/>
        <w:ind w:left="5812" w:hanging="0"/>
        <w:jc w:val="right"/>
        <w:rPr/>
      </w:pPr>
      <w:r>
        <w:rPr>
          <w:sz w:val="22"/>
          <w:szCs w:val="22"/>
        </w:rPr>
        <w:t>Приложение №12</w:t>
      </w:r>
    </w:p>
    <w:p>
      <w:pPr>
        <w:pStyle w:val="Normal"/>
        <w:spacing w:lineRule="auto" w:line="240"/>
        <w:ind w:firstLine="4820"/>
        <w:jc w:val="right"/>
        <w:rPr/>
      </w:pPr>
      <w:r>
        <w:rPr>
          <w:sz w:val="22"/>
          <w:szCs w:val="22"/>
        </w:rPr>
        <w:t>к договору подряда</w:t>
      </w:r>
    </w:p>
    <w:p>
      <w:pPr>
        <w:pStyle w:val="Normal"/>
        <w:spacing w:lineRule="auto" w:line="240"/>
        <w:ind w:left="4535" w:hanging="737"/>
        <w:jc w:val="right"/>
        <w:rPr/>
      </w:pPr>
      <w:r>
        <w:rPr>
          <w:sz w:val="22"/>
          <w:szCs w:val="22"/>
        </w:rPr>
        <w:t>от «____» __________ 2026 г. №________</w:t>
      </w:r>
    </w:p>
    <w:p>
      <w:pPr>
        <w:pStyle w:val="Normal"/>
        <w:spacing w:lineRule="auto" w:line="240"/>
        <w:ind w:left="4535" w:hanging="737"/>
        <w:jc w:val="right"/>
        <w:rPr>
          <w:b/>
          <w:sz w:val="22"/>
          <w:szCs w:val="22"/>
        </w:rPr>
      </w:pPr>
      <w:r>
        <w:rPr>
          <w:b/>
          <w:sz w:val="22"/>
          <w:szCs w:val="22"/>
        </w:rPr>
      </w:r>
    </w:p>
    <w:p>
      <w:pPr>
        <w:pStyle w:val="Normal"/>
        <w:spacing w:lineRule="auto" w:line="240"/>
        <w:jc w:val="center"/>
        <w:rPr>
          <w:b/>
          <w:sz w:val="24"/>
          <w:szCs w:val="24"/>
        </w:rPr>
      </w:pPr>
      <w:r>
        <w:rPr>
          <w:b/>
          <w:sz w:val="24"/>
          <w:szCs w:val="24"/>
        </w:rPr>
        <w:t>Порядок возврата Подрядчиком Заказчику лома и отходов черных и цветных металлов, образовавшихся при производстве работ</w:t>
      </w:r>
    </w:p>
    <w:p>
      <w:pPr>
        <w:pStyle w:val="Normal"/>
        <w:spacing w:lineRule="auto" w:line="240"/>
        <w:rPr>
          <w:b/>
          <w:sz w:val="24"/>
          <w:szCs w:val="24"/>
        </w:rPr>
      </w:pPr>
      <w:r>
        <w:rPr>
          <w:b/>
          <w:sz w:val="24"/>
          <w:szCs w:val="24"/>
        </w:rPr>
      </w:r>
    </w:p>
    <w:p>
      <w:pPr>
        <w:pStyle w:val="Normal"/>
        <w:numPr>
          <w:ilvl w:val="0"/>
          <w:numId w:val="24"/>
        </w:numPr>
        <w:spacing w:lineRule="auto" w:line="240"/>
        <w:ind w:left="0" w:firstLine="567"/>
        <w:rPr>
          <w:sz w:val="24"/>
          <w:szCs w:val="24"/>
        </w:rPr>
      </w:pPr>
      <w:r>
        <w:rPr>
          <w:sz w:val="24"/>
          <w:szCs w:val="24"/>
        </w:rPr>
        <w:t>По результатам обследования технического состояния демонтированных материальных ценностей Заказчик направит уведомление, содержащее сведения:</w:t>
      </w:r>
    </w:p>
    <w:p>
      <w:pPr>
        <w:pStyle w:val="Normal"/>
        <w:spacing w:lineRule="auto" w:line="240"/>
        <w:rPr>
          <w:sz w:val="24"/>
          <w:szCs w:val="24"/>
        </w:rPr>
      </w:pPr>
      <w:r>
        <w:rPr>
          <w:sz w:val="24"/>
          <w:szCs w:val="24"/>
        </w:rPr>
        <w:t>1.1.  о материальных ценностях, пригодных для дальнейшего использования, порядке и сроках их передачи Заказчику, в том числе:</w:t>
      </w:r>
    </w:p>
    <w:p>
      <w:pPr>
        <w:pStyle w:val="Normal"/>
        <w:spacing w:lineRule="auto" w:line="240"/>
        <w:rPr>
          <w:sz w:val="24"/>
          <w:szCs w:val="24"/>
        </w:rPr>
      </w:pPr>
      <w:r>
        <w:rPr>
          <w:sz w:val="24"/>
          <w:szCs w:val="24"/>
        </w:rPr>
        <w:t>-о необходимости разборки/разукрупнения материальных ценностей;</w:t>
      </w:r>
    </w:p>
    <w:p>
      <w:pPr>
        <w:pStyle w:val="Normal"/>
        <w:spacing w:lineRule="auto" w:line="240"/>
        <w:rPr>
          <w:sz w:val="24"/>
          <w:szCs w:val="24"/>
        </w:rPr>
      </w:pPr>
      <w:r>
        <w:rPr>
          <w:sz w:val="24"/>
          <w:szCs w:val="24"/>
        </w:rPr>
        <w:t>-о сроках передачи и складе/площадке для размещения материальных ценностей;</w:t>
      </w:r>
    </w:p>
    <w:p>
      <w:pPr>
        <w:pStyle w:val="Normal"/>
        <w:spacing w:lineRule="auto" w:line="240"/>
        <w:rPr>
          <w:sz w:val="24"/>
          <w:szCs w:val="24"/>
        </w:rPr>
      </w:pPr>
      <w:r>
        <w:rPr>
          <w:sz w:val="24"/>
          <w:szCs w:val="24"/>
        </w:rPr>
        <w:t>-о сроках и порядке проведения взвешивания (при необходимости).</w:t>
      </w:r>
    </w:p>
    <w:p>
      <w:pPr>
        <w:pStyle w:val="Normal"/>
        <w:spacing w:lineRule="auto" w:line="240"/>
        <w:rPr>
          <w:sz w:val="24"/>
          <w:szCs w:val="24"/>
        </w:rPr>
      </w:pPr>
      <w:r>
        <w:rPr>
          <w:sz w:val="24"/>
          <w:szCs w:val="24"/>
        </w:rPr>
        <w:t>1.2. о непригодных для дальнейшего использования материальных ценностях, списываемых в лом и отходы черных и цветных металлов, порядке и сроках их передачи Заказчику, в том числе:</w:t>
      </w:r>
    </w:p>
    <w:p>
      <w:pPr>
        <w:pStyle w:val="Normal"/>
        <w:spacing w:lineRule="auto" w:line="240"/>
        <w:rPr>
          <w:sz w:val="24"/>
          <w:szCs w:val="24"/>
        </w:rPr>
      </w:pPr>
      <w:r>
        <w:rPr>
          <w:sz w:val="24"/>
          <w:szCs w:val="24"/>
        </w:rPr>
        <w:t>-о необходимости разделки лома металлов, сортировки по видам металлов, видам, группам и категориям металлолома;</w:t>
      </w:r>
    </w:p>
    <w:p>
      <w:pPr>
        <w:pStyle w:val="Normal"/>
        <w:spacing w:lineRule="auto" w:line="240"/>
        <w:rPr>
          <w:sz w:val="24"/>
          <w:szCs w:val="24"/>
        </w:rPr>
      </w:pPr>
      <w:r>
        <w:rPr>
          <w:sz w:val="24"/>
          <w:szCs w:val="24"/>
        </w:rPr>
        <w:t xml:space="preserve">-о допустимых габаритах отдельных кусков лома, маркировке демонтированных деталей; </w:t>
      </w:r>
    </w:p>
    <w:p>
      <w:pPr>
        <w:pStyle w:val="Normal"/>
        <w:spacing w:lineRule="auto" w:line="240"/>
        <w:rPr>
          <w:sz w:val="24"/>
          <w:szCs w:val="24"/>
        </w:rPr>
      </w:pPr>
      <w:r>
        <w:rPr>
          <w:sz w:val="24"/>
          <w:szCs w:val="24"/>
        </w:rPr>
        <w:t>-об условиях размещения лома и месте накопления отходов;</w:t>
      </w:r>
    </w:p>
    <w:p>
      <w:pPr>
        <w:pStyle w:val="Normal"/>
        <w:spacing w:lineRule="auto" w:line="240"/>
        <w:rPr>
          <w:sz w:val="24"/>
          <w:szCs w:val="24"/>
        </w:rPr>
      </w:pPr>
      <w:r>
        <w:rPr>
          <w:sz w:val="24"/>
          <w:szCs w:val="24"/>
        </w:rPr>
        <w:t>-о сроках и условиях размещения лома в месте накопления отходов и взвешивания лома;</w:t>
      </w:r>
    </w:p>
    <w:p>
      <w:pPr>
        <w:pStyle w:val="Normal"/>
        <w:spacing w:lineRule="auto" w:line="240"/>
        <w:rPr>
          <w:sz w:val="24"/>
          <w:szCs w:val="24"/>
        </w:rPr>
      </w:pPr>
      <w:r>
        <w:rPr>
          <w:sz w:val="24"/>
          <w:szCs w:val="24"/>
        </w:rPr>
        <w:t>-о необходимости определения засоренности и требованиях к порядку и срокам определения засоренности лома цветных металлов;</w:t>
      </w:r>
    </w:p>
    <w:p>
      <w:pPr>
        <w:pStyle w:val="Normal"/>
        <w:numPr>
          <w:ilvl w:val="0"/>
          <w:numId w:val="24"/>
        </w:numPr>
        <w:spacing w:lineRule="auto" w:line="240"/>
        <w:ind w:left="0" w:firstLine="567"/>
        <w:rPr>
          <w:sz w:val="24"/>
          <w:szCs w:val="24"/>
        </w:rPr>
      </w:pPr>
      <w:r>
        <w:rPr>
          <w:sz w:val="24"/>
          <w:szCs w:val="24"/>
        </w:rPr>
        <w:t>Подрядчик должен передать Заказчику в полном объеме лом черных и цветных металлов, образовавшийся в ходе выполнения Работ в порядке и сроки, указанные в обращении Заказчика направленного в соответствии с пунктом 1.2, по акту приема передачи с предварительным взвешиванием лома и определением засоренности лома цветных металлов, в т.ч.:</w:t>
      </w:r>
    </w:p>
    <w:p>
      <w:pPr>
        <w:pStyle w:val="Normal"/>
        <w:spacing w:lineRule="auto" w:line="240"/>
        <w:rPr>
          <w:sz w:val="24"/>
          <w:szCs w:val="24"/>
        </w:rPr>
      </w:pPr>
      <w:r>
        <w:rPr>
          <w:sz w:val="24"/>
          <w:szCs w:val="24"/>
        </w:rPr>
        <w:t>2.1. Подготовить заявку на сдачу лома, по форме, установленной Заказчиком, определить наименование, вид, группу и общее обозначение лома металлов в соответствии с ГОСТ;</w:t>
      </w:r>
    </w:p>
    <w:p>
      <w:pPr>
        <w:pStyle w:val="Normal"/>
        <w:spacing w:lineRule="auto" w:line="240"/>
        <w:rPr>
          <w:sz w:val="24"/>
          <w:szCs w:val="24"/>
        </w:rPr>
      </w:pPr>
      <w:r>
        <w:rPr>
          <w:sz w:val="24"/>
          <w:szCs w:val="24"/>
        </w:rPr>
        <w:t>2.2. Выполнить разделку крупногабаритного демонтированного лома металлов;</w:t>
      </w:r>
    </w:p>
    <w:p>
      <w:pPr>
        <w:pStyle w:val="Normal"/>
        <w:spacing w:lineRule="auto" w:line="240"/>
        <w:rPr>
          <w:sz w:val="24"/>
          <w:szCs w:val="24"/>
        </w:rPr>
      </w:pPr>
      <w:r>
        <w:rPr>
          <w:sz w:val="24"/>
          <w:szCs w:val="24"/>
        </w:rPr>
        <w:t>2.3. Выполнить перемещение лома металлов в место накопления отходов и размещение лома в месте накопления отходов;</w:t>
      </w:r>
    </w:p>
    <w:p>
      <w:pPr>
        <w:pStyle w:val="Normal"/>
        <w:spacing w:lineRule="auto" w:line="240"/>
        <w:rPr>
          <w:sz w:val="24"/>
          <w:szCs w:val="24"/>
        </w:rPr>
      </w:pPr>
      <w:r>
        <w:rPr>
          <w:sz w:val="24"/>
          <w:szCs w:val="24"/>
        </w:rPr>
        <w:t>2.4. Произвести взвешивание демонтированного лома металлов. При взвешивании крупных узлов/деталей не допускается подмешивание мелких деталей/материалов;</w:t>
      </w:r>
    </w:p>
    <w:p>
      <w:pPr>
        <w:pStyle w:val="Normal"/>
        <w:spacing w:lineRule="auto" w:line="240"/>
        <w:rPr>
          <w:sz w:val="24"/>
        </w:rPr>
      </w:pPr>
      <w:r>
        <w:rPr>
          <w:sz w:val="24"/>
          <w:szCs w:val="24"/>
        </w:rPr>
        <w:t>2.5. Выполнить очистку от засора образцов лома цветных металлов для определения засоренности</w:t>
      </w:r>
      <w:r>
        <w:rPr>
          <w:sz w:val="24"/>
        </w:rPr>
        <w:t>.</w:t>
      </w:r>
    </w:p>
    <w:p>
      <w:pPr>
        <w:pStyle w:val="Normal"/>
        <w:spacing w:lineRule="auto" w:line="240"/>
        <w:jc w:val="center"/>
        <w:rPr>
          <w:b/>
          <w:sz w:val="24"/>
        </w:rPr>
      </w:pPr>
      <w:r>
        <w:rPr>
          <w:b/>
          <w:sz w:val="24"/>
        </w:rPr>
      </w:r>
    </w:p>
    <w:p>
      <w:pPr>
        <w:pStyle w:val="Normal"/>
        <w:spacing w:lineRule="auto" w:line="240"/>
        <w:ind w:firstLine="709"/>
        <w:jc w:val="center"/>
        <w:rPr>
          <w:b/>
          <w:sz w:val="24"/>
          <w:szCs w:val="24"/>
        </w:rPr>
      </w:pPr>
      <w:r>
        <w:rPr>
          <w:b/>
          <w:sz w:val="24"/>
          <w:szCs w:val="24"/>
        </w:rPr>
        <w:t>ПОДПИСИ СТОРОН:</w:t>
      </w:r>
    </w:p>
    <w:p>
      <w:pPr>
        <w:pStyle w:val="Normal"/>
        <w:spacing w:lineRule="auto" w:line="240"/>
        <w:ind w:firstLine="709"/>
        <w:jc w:val="center"/>
        <w:rPr>
          <w:b/>
          <w:sz w:val="24"/>
          <w:szCs w:val="24"/>
        </w:rPr>
      </w:pPr>
      <w:r>
        <w:rPr>
          <w:b/>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r>
          </w:p>
        </w:tc>
        <w:tc>
          <w:tcPr>
            <w:tcW w:w="4699" w:type="dxa"/>
            <w:tcBorders/>
          </w:tcPr>
          <w:p>
            <w:pPr>
              <w:pStyle w:val="Normal"/>
              <w:widowControl w:val="false"/>
              <w:spacing w:lineRule="auto" w:line="24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r>
              <w:rPr>
                <w:sz w:val="24"/>
              </w:rPr>
              <w:t xml:space="preserve">_______________ / </w:t>
            </w:r>
            <w:r>
              <w:rPr>
                <w:sz w:val="24"/>
              </w:rPr>
              <w:t>_____________</w:t>
            </w:r>
          </w:p>
        </w:tc>
        <w:tc>
          <w:tcPr>
            <w:tcW w:w="4699" w:type="dxa"/>
            <w:tcBorders/>
          </w:tcPr>
          <w:p>
            <w:pPr>
              <w:pStyle w:val="Normal"/>
              <w:widowControl w:val="false"/>
              <w:spacing w:lineRule="auto" w:line="240"/>
              <w:ind w:hanging="0"/>
              <w:jc w:val="left"/>
              <w:rPr>
                <w:sz w:val="24"/>
              </w:rPr>
            </w:pPr>
            <w:r>
              <w:rPr/>
              <w:t>‍</w:t>
            </w:r>
            <w:r>
              <w:rPr/>
              <w:t xml:space="preserve">_______________ / </w:t>
            </w:r>
            <w:r>
              <w:rPr/>
              <w:t>_____________</w:t>
            </w:r>
          </w:p>
        </w:tc>
      </w:tr>
    </w:tbl>
    <w:p>
      <w:pPr>
        <w:pStyle w:val="Normal"/>
        <w:spacing w:lineRule="auto" w:line="240"/>
        <w:jc w:val="center"/>
        <w:rPr>
          <w:b/>
          <w:sz w:val="24"/>
        </w:rPr>
      </w:pPr>
      <w:r>
        <w:rPr>
          <w:b/>
          <w:sz w:val="24"/>
        </w:rPr>
      </w:r>
      <w:r>
        <w:br w:type="page"/>
      </w:r>
    </w:p>
    <w:p>
      <w:pPr>
        <w:pStyle w:val="Normal"/>
        <w:spacing w:lineRule="auto" w:line="240"/>
        <w:ind w:left="4820" w:hanging="0"/>
        <w:jc w:val="right"/>
        <w:rPr>
          <w:sz w:val="22"/>
          <w:szCs w:val="22"/>
        </w:rPr>
      </w:pPr>
      <w:r>
        <w:rPr>
          <w:sz w:val="22"/>
          <w:szCs w:val="22"/>
          <w:shd w:fill="auto" w:val="clear"/>
        </w:rPr>
        <w:t>Приложение № 13</w:t>
      </w:r>
    </w:p>
    <w:p>
      <w:pPr>
        <w:pStyle w:val="Normal"/>
        <w:spacing w:lineRule="auto" w:line="240"/>
        <w:ind w:left="4820" w:hanging="0"/>
        <w:jc w:val="right"/>
        <w:rPr>
          <w:highlight w:val="none"/>
          <w:shd w:fill="auto" w:val="clear"/>
        </w:rPr>
      </w:pPr>
      <w:r>
        <w:rPr>
          <w:sz w:val="22"/>
          <w:szCs w:val="22"/>
          <w:shd w:fill="auto" w:val="clear"/>
        </w:rPr>
        <w:t>к Договору подряда</w:t>
      </w:r>
    </w:p>
    <w:p>
      <w:pPr>
        <w:pStyle w:val="Normal"/>
        <w:spacing w:lineRule="auto" w:line="240"/>
        <w:ind w:left="4820" w:hanging="0"/>
        <w:jc w:val="right"/>
        <w:rPr>
          <w:highlight w:val="none"/>
          <w:shd w:fill="auto" w:val="clear"/>
        </w:rPr>
      </w:pPr>
      <w:r>
        <w:rPr>
          <w:sz w:val="22"/>
          <w:szCs w:val="22"/>
          <w:shd w:fill="auto" w:val="clear"/>
        </w:rPr>
        <w:t>от «____» __________ 2026 г. № ________</w:t>
      </w:r>
    </w:p>
    <w:p>
      <w:pPr>
        <w:pStyle w:val="Normal"/>
        <w:spacing w:lineRule="auto" w:line="240"/>
        <w:ind w:firstLine="709"/>
        <w:jc w:val="center"/>
        <w:rPr>
          <w:sz w:val="24"/>
          <w:szCs w:val="24"/>
          <w:highlight w:val="lightGray"/>
        </w:rPr>
      </w:pPr>
      <w:r>
        <w:rPr>
          <w:sz w:val="24"/>
          <w:szCs w:val="24"/>
          <w:highlight w:val="lightGray"/>
        </w:rPr>
      </w:r>
    </w:p>
    <w:p>
      <w:pPr>
        <w:pStyle w:val="Normal"/>
        <w:spacing w:lineRule="auto" w:line="240"/>
        <w:ind w:firstLine="709"/>
        <w:jc w:val="center"/>
        <w:rPr>
          <w:b/>
          <w:sz w:val="24"/>
          <w:szCs w:val="24"/>
        </w:rPr>
      </w:pPr>
      <w:r>
        <w:rPr>
          <w:b/>
          <w:sz w:val="24"/>
          <w:szCs w:val="24"/>
        </w:rPr>
        <w:br/>
      </w:r>
      <w:bookmarkStart w:id="53" w:name="_Toc122678954_Копия_5"/>
      <w:r>
        <w:rPr>
          <w:b/>
          <w:sz w:val="24"/>
          <w:szCs w:val="24"/>
        </w:rPr>
        <w:t>Методика расчета упущенной выгоды (выручки)</w:t>
      </w:r>
      <w:bookmarkEnd w:id="53"/>
      <w:r>
        <w:rPr>
          <w:b/>
          <w:sz w:val="24"/>
          <w:szCs w:val="24"/>
        </w:rPr>
        <w:t xml:space="preserve"> </w:t>
      </w:r>
    </w:p>
    <w:p>
      <w:pPr>
        <w:pStyle w:val="Normal"/>
        <w:spacing w:lineRule="auto" w:line="240"/>
        <w:ind w:firstLine="709"/>
        <w:jc w:val="center"/>
        <w:rPr>
          <w:b/>
          <w:sz w:val="24"/>
          <w:szCs w:val="24"/>
        </w:rPr>
      </w:pPr>
      <w:r>
        <w:rPr>
          <w:b/>
          <w:sz w:val="24"/>
          <w:szCs w:val="24"/>
        </w:rPr>
        <w:t>и дополнительных обязательств участника ОРЭМ от недопоставки электрической энергии и мощности на ОРЭМ в</w:t>
      </w:r>
      <w:r>
        <w:rPr>
          <w:rFonts w:eastAsia="Times New Roman" w:cs="Times New Roman"/>
          <w:b/>
          <w:color w:val="auto"/>
          <w:kern w:val="0"/>
          <w:sz w:val="24"/>
          <w:szCs w:val="24"/>
          <w:lang w:val="ru-RU" w:eastAsia="ru-RU" w:bidi="ar-SA"/>
        </w:rPr>
        <w:t xml:space="preserve"> отдельной территории ценовой зоны оптового рынка, ранее относившейся к</w:t>
      </w:r>
      <w:r>
        <w:rPr>
          <w:b/>
          <w:sz w:val="24"/>
          <w:szCs w:val="24"/>
        </w:rPr>
        <w:t> неценовой зоне отпового рынка Дальнего Востока</w:t>
      </w:r>
    </w:p>
    <w:p>
      <w:pPr>
        <w:pStyle w:val="Normal"/>
        <w:spacing w:lineRule="auto" w:line="240"/>
        <w:ind w:firstLine="709"/>
        <w:jc w:val="center"/>
        <w:rPr>
          <w:sz w:val="24"/>
          <w:szCs w:val="24"/>
        </w:rPr>
      </w:pPr>
      <w:r>
        <w:rPr>
          <w:sz w:val="24"/>
          <w:szCs w:val="24"/>
        </w:rPr>
      </w:r>
    </w:p>
    <w:p>
      <w:pPr>
        <w:pStyle w:val="Normal"/>
        <w:spacing w:lineRule="auto" w:line="240"/>
        <w:ind w:firstLine="709"/>
        <w:rPr>
          <w:sz w:val="24"/>
          <w:szCs w:val="24"/>
        </w:rPr>
      </w:pPr>
      <w:r>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pPr>
        <w:pStyle w:val="Normal"/>
        <w:spacing w:lineRule="auto" w:line="240"/>
        <w:ind w:firstLine="709"/>
        <w:rPr>
          <w:sz w:val="24"/>
          <w:szCs w:val="24"/>
        </w:rPr>
      </w:pPr>
      <w:r>
        <w:rPr>
          <w:sz w:val="24"/>
          <w:szCs w:val="24"/>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pPr>
        <w:pStyle w:val="Normal"/>
        <w:spacing w:lineRule="auto" w:line="240"/>
        <w:ind w:firstLine="709"/>
        <w:rPr>
          <w:sz w:val="24"/>
          <w:szCs w:val="24"/>
        </w:rPr>
      </w:pPr>
      <w:r>
        <w:rPr>
          <w:sz w:val="24"/>
          <w:szCs w:val="24"/>
        </w:rPr>
        <w:t xml:space="preserve"> </w:t>
      </w:r>
      <w:r>
        <w:rPr>
          <w:sz w:val="24"/>
          <w:szCs w:val="24"/>
        </w:rPr>
        <w:t xml:space="preserve">В заявках должны быть указаны: </w:t>
      </w:r>
    </w:p>
    <w:p>
      <w:pPr>
        <w:pStyle w:val="Normal"/>
        <w:numPr>
          <w:ilvl w:val="0"/>
          <w:numId w:val="32"/>
        </w:numPr>
        <w:spacing w:lineRule="auto" w:line="240"/>
        <w:ind w:left="0" w:firstLine="709"/>
        <w:rPr>
          <w:bCs/>
          <w:sz w:val="24"/>
          <w:szCs w:val="24"/>
        </w:rPr>
      </w:pPr>
      <w:r>
        <w:rPr>
          <w:bCs/>
          <w:sz w:val="24"/>
          <w:szCs w:val="24"/>
        </w:rPr>
        <w:t>номер заявки;</w:t>
      </w:r>
    </w:p>
    <w:p>
      <w:pPr>
        <w:pStyle w:val="Normal"/>
        <w:numPr>
          <w:ilvl w:val="0"/>
          <w:numId w:val="32"/>
        </w:numPr>
        <w:spacing w:lineRule="auto" w:line="240"/>
        <w:ind w:left="0" w:firstLine="709"/>
        <w:rPr>
          <w:bCs/>
          <w:sz w:val="24"/>
          <w:szCs w:val="24"/>
        </w:rPr>
      </w:pPr>
      <w:r>
        <w:rPr>
          <w:bCs/>
          <w:sz w:val="24"/>
          <w:szCs w:val="24"/>
        </w:rPr>
        <w:t>подающее предприятие;</w:t>
      </w:r>
    </w:p>
    <w:p>
      <w:pPr>
        <w:pStyle w:val="Normal"/>
        <w:numPr>
          <w:ilvl w:val="0"/>
          <w:numId w:val="32"/>
        </w:numPr>
        <w:spacing w:lineRule="auto" w:line="240"/>
        <w:ind w:left="0" w:firstLine="709"/>
        <w:rPr>
          <w:bCs/>
          <w:sz w:val="24"/>
          <w:szCs w:val="24"/>
        </w:rPr>
      </w:pPr>
      <w:r>
        <w:rPr>
          <w:bCs/>
          <w:sz w:val="24"/>
          <w:szCs w:val="24"/>
        </w:rPr>
        <w:t>оборудование, по которому фиксируется изменение эксплуатационного состояния или технологического режима работы;</w:t>
      </w:r>
    </w:p>
    <w:p>
      <w:pPr>
        <w:pStyle w:val="Normal"/>
        <w:numPr>
          <w:ilvl w:val="0"/>
          <w:numId w:val="32"/>
        </w:numPr>
        <w:spacing w:lineRule="auto" w:line="240"/>
        <w:ind w:left="0" w:firstLine="709"/>
        <w:rPr>
          <w:bCs/>
          <w:sz w:val="24"/>
          <w:szCs w:val="24"/>
        </w:rPr>
      </w:pPr>
      <w:r>
        <w:rPr>
          <w:bCs/>
          <w:sz w:val="24"/>
          <w:szCs w:val="24"/>
        </w:rPr>
        <w:t>величина снижения максимальной мощности;</w:t>
      </w:r>
    </w:p>
    <w:p>
      <w:pPr>
        <w:pStyle w:val="Normal"/>
        <w:numPr>
          <w:ilvl w:val="0"/>
          <w:numId w:val="32"/>
        </w:numPr>
        <w:spacing w:lineRule="auto" w:line="240"/>
        <w:ind w:left="0" w:firstLine="709"/>
        <w:rPr>
          <w:bCs/>
          <w:sz w:val="24"/>
          <w:szCs w:val="24"/>
        </w:rPr>
      </w:pPr>
      <w:r>
        <w:rPr>
          <w:bCs/>
          <w:sz w:val="24"/>
          <w:szCs w:val="24"/>
        </w:rPr>
        <w:t>содержание работ;</w:t>
      </w:r>
    </w:p>
    <w:p>
      <w:pPr>
        <w:pStyle w:val="Normal"/>
        <w:numPr>
          <w:ilvl w:val="0"/>
          <w:numId w:val="32"/>
        </w:numPr>
        <w:spacing w:lineRule="auto" w:line="240"/>
        <w:ind w:left="0" w:firstLine="709"/>
        <w:rPr>
          <w:bCs/>
          <w:sz w:val="24"/>
          <w:szCs w:val="24"/>
        </w:rPr>
      </w:pPr>
      <w:r>
        <w:rPr>
          <w:bCs/>
          <w:sz w:val="24"/>
          <w:szCs w:val="24"/>
        </w:rPr>
        <w:t>время подачи заявки;</w:t>
      </w:r>
    </w:p>
    <w:p>
      <w:pPr>
        <w:pStyle w:val="Normal"/>
        <w:numPr>
          <w:ilvl w:val="0"/>
          <w:numId w:val="32"/>
        </w:numPr>
        <w:spacing w:lineRule="auto" w:line="240"/>
        <w:ind w:left="0" w:firstLine="709"/>
        <w:rPr>
          <w:bCs/>
          <w:sz w:val="24"/>
          <w:szCs w:val="24"/>
        </w:rPr>
      </w:pPr>
      <w:r>
        <w:rPr>
          <w:bCs/>
          <w:sz w:val="24"/>
          <w:szCs w:val="24"/>
        </w:rPr>
        <w:t>время начала и конца действия заявки и др.</w:t>
      </w:r>
    </w:p>
    <w:p>
      <w:pPr>
        <w:pStyle w:val="Normal"/>
        <w:spacing w:lineRule="auto" w:line="240"/>
        <w:ind w:firstLine="709"/>
        <w:rPr>
          <w:sz w:val="24"/>
          <w:szCs w:val="24"/>
        </w:rPr>
      </w:pPr>
      <w:r>
        <w:rPr>
          <w:sz w:val="24"/>
          <w:szCs w:val="24"/>
        </w:rPr>
        <w:t>2.</w:t>
        <w:tab/>
        <w:t xml:space="preserve">Данные о параметрах готовности генерирующего оборудования (ГРМ), а также информация о фактической нагрузке по данным СОТИАССО на конец каждого часа отчетного месяца по ГТП, сформированные Системным Оператором  соответствии с п. 6.  «Технических требований к генерирующему оборудованию участников оптового рынка», п. 5. </w:t>
      </w:r>
      <w:r>
        <w:rPr>
          <w:rFonts w:eastAsia="Times New Roman" w:cs="Times New Roman"/>
          <w:color w:val="auto"/>
          <w:kern w:val="0"/>
          <w:sz w:val="24"/>
          <w:szCs w:val="24"/>
          <w:lang w:val="ru-RU" w:eastAsia="ru-RU" w:bidi="ar-SA"/>
        </w:rPr>
        <w:t>«</w:t>
      </w:r>
      <w:r>
        <w:rPr>
          <w:sz w:val="24"/>
          <w:szCs w:val="24"/>
        </w:rPr>
        <w:t>Порядка установления соответствия генерирующего оборудования участников оптового рынка техническим требованиям</w:t>
      </w:r>
      <w:r>
        <w:rPr>
          <w:rFonts w:eastAsia="Times New Roman" w:cs="Times New Roman"/>
          <w:color w:val="auto"/>
          <w:kern w:val="0"/>
          <w:sz w:val="24"/>
          <w:szCs w:val="24"/>
          <w:lang w:val="ru-RU" w:eastAsia="ru-RU" w:bidi="ar-SA"/>
        </w:rPr>
        <w:t>»</w:t>
      </w:r>
      <w:r>
        <w:rPr>
          <w:sz w:val="24"/>
          <w:szCs w:val="24"/>
        </w:rPr>
        <w:t xml:space="preserve"> и пп. 3.4.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r>
        <w:rPr/>
      </w:r>
      <m:oMath xmlns:m="http://schemas.openxmlformats.org/officeDocument/2006/math"/>
      <w:r>
        <w:rPr>
          <w:rFonts w:eastAsia="Times New Roman" w:cs="Times New Roman"/>
          <w:sz w:val="24"/>
          <w:szCs w:val="24"/>
        </w:rPr>
        <w:t xml:space="preserve"> </w:t>
      </w:r>
    </w:p>
    <w:p>
      <w:pPr>
        <w:pStyle w:val="Normal"/>
        <w:spacing w:lineRule="auto" w:line="240" w:before="20" w:after="20"/>
        <w:ind w:firstLine="709"/>
        <w:rPr>
          <w:sz w:val="24"/>
          <w:szCs w:val="24"/>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m:t>
                </m:r>
              </m:sub>
              <m:sup>
                <m:r>
                  <w:rPr>
                    <w:rFonts w:ascii="Cambria Math" w:hAnsi="Cambria Math"/>
                  </w:rPr>
                  <m:t xml:space="preserve">1</m:t>
                </m:r>
              </m:sup>
            </m:sSubSup>
          </m:sup>
        </m:sSup>
      </m:oMath>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 xml:space="preserve">величина согласованных ограничений установленной мощности в пределах, заявленных по процедуре конкурентного отбора мощности (КОМ); </w:t>
      </w:r>
    </w:p>
    <w:p>
      <w:pPr>
        <w:pStyle w:val="Normal"/>
        <w:spacing w:lineRule="auto" w:line="276" w:before="120" w:after="20"/>
        <w:ind w:firstLine="709"/>
        <w:jc w:val="both"/>
        <w:rPr>
          <w:sz w:val="24"/>
          <w:szCs w:val="24"/>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m:t>
                </m:r>
              </m:sub>
              <m:sup>
                <m:r>
                  <w:rPr>
                    <w:rFonts w:ascii="Cambria Math" w:hAnsi="Cambria Math"/>
                  </w:rPr>
                  <m:t xml:space="preserve">2</m:t>
                </m:r>
              </m:sup>
            </m:sSubSup>
          </m:sup>
        </m:sSup>
      </m:oMath>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величина согласованных ограничений установленной мощности сверх, заявленных в КОМ;</w:t>
      </w:r>
    </w:p>
    <w:p>
      <w:pPr>
        <w:pStyle w:val="Normal"/>
        <w:spacing w:lineRule="auto" w:line="276" w:before="20" w:after="20"/>
        <w:ind w:firstLine="709"/>
        <w:jc w:val="both"/>
        <w:rPr>
          <w:sz w:val="24"/>
          <w:szCs w:val="24"/>
        </w:rPr>
      </w:pPr>
      <w:r>
        <w:rPr/>
        <w:drawing>
          <wp:inline distT="0" distB="0" distL="0" distR="0">
            <wp:extent cx="323850" cy="219075"/>
            <wp:effectExtent l="0" t="0" r="0" b="0"/>
            <wp:docPr id="1"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descr=""/>
                    <pic:cNvPicPr>
                      <a:picLocks noChangeAspect="1" noChangeArrowheads="1"/>
                    </pic:cNvPicPr>
                  </pic:nvPicPr>
                  <pic:blipFill>
                    <a:blip r:embed="rId16"/>
                    <a:srcRect l="-222" t="-329" r="-222" b="-329"/>
                    <a:stretch>
                      <a:fillRect/>
                    </a:stretch>
                  </pic:blipFill>
                  <pic:spPr bwMode="auto">
                    <a:xfrm>
                      <a:off x="0" y="0"/>
                      <a:ext cx="323850" cy="219075"/>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величина согласованного планового ремонтного снижения мощности;</w:t>
      </w:r>
    </w:p>
    <w:p>
      <w:pPr>
        <w:pStyle w:val="Normal"/>
        <w:spacing w:lineRule="auto" w:line="276" w:before="20" w:after="20"/>
        <w:ind w:firstLine="709"/>
        <w:jc w:val="both"/>
        <w:rPr>
          <w:sz w:val="24"/>
          <w:szCs w:val="24"/>
        </w:rPr>
      </w:pPr>
      <w:r>
        <w:rPr/>
      </w:r>
      <m:oMath xmlns:m="http://schemas.openxmlformats.org/officeDocument/2006/math">
        <m:sSubSup>
          <m:e>
            <m:r>
              <w:rPr>
                <w:rFonts w:ascii="Cambria Math" w:hAnsi="Cambria Math"/>
              </w:rPr>
              <m:t xml:space="preserve">Δ</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,h</m:t>
            </m:r>
          </m:sub>
          <m:sup>
            <m:r>
              <w:rPr>
                <w:rFonts w:ascii="Cambria Math" w:hAnsi="Cambria Math"/>
              </w:rPr>
              <m:t xml:space="preserve">j</m:t>
            </m:r>
          </m:sup>
        </m:sSubSup>
      </m:oMath>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плановое ремонтное снижение мощности, обусловленное проведением ремонта длительностью более 180 (сто восьмидесяти) суток для ТЭС в год;</w:t>
      </w:r>
    </w:p>
    <w:p>
      <w:pPr>
        <w:pStyle w:val="Normal"/>
        <w:spacing w:lineRule="auto" w:line="276" w:before="20" w:after="20"/>
        <w:ind w:firstLine="709"/>
        <w:jc w:val="both"/>
        <w:rPr>
          <w:sz w:val="24"/>
          <w:szCs w:val="24"/>
        </w:rPr>
      </w:pPr>
      <w:r>
        <w:rPr/>
      </w:r>
      <m:oMath xmlns:m="http://schemas.openxmlformats.org/officeDocument/2006/math"/>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итоговое значение согласованного планового ремонтного снижения располагаемой мощности;</w:t>
      </w:r>
    </w:p>
    <w:p>
      <w:pPr>
        <w:pStyle w:val="Normal"/>
        <w:spacing w:lineRule="auto" w:line="276" w:before="20" w:after="20"/>
        <w:ind w:firstLine="709"/>
        <w:jc w:val="both"/>
        <w:rPr>
          <w:sz w:val="24"/>
          <w:szCs w:val="24"/>
        </w:rPr>
      </w:pPr>
      <w:r>
        <w:rPr>
          <w:rFonts w:eastAsia="Times New Roman" w:cs="Times New Roman"/>
          <w:sz w:val="24"/>
          <w:szCs w:val="24"/>
        </w:rPr>
        <w:t xml:space="preserve"> </w:t>
      </w:r>
      <w:r>
        <w:rPr/>
      </w:r>
      <m:oMath xmlns:m="http://schemas.openxmlformats.org/officeDocument/2006/math">
        <m:sSubSup>
          <m:e>
            <m:r>
              <w:rPr>
                <w:rFonts w:ascii="Cambria Math" w:hAnsi="Cambria Math"/>
              </w:rPr>
              <m:t xml:space="preserve">∆</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r>
              <m:rPr>
                <m:lit/>
                <m:nor/>
              </m:rPr>
              <w:rPr>
                <w:rFonts w:ascii="Cambria Math" w:hAnsi="Cambria Math"/>
              </w:rPr>
              <m:t xml:space="preserve">,h</m:t>
            </m:r>
          </m:sub>
          <m:sup>
            <m:r>
              <w:rPr>
                <w:rFonts w:ascii="Cambria Math" w:hAnsi="Cambria Math"/>
              </w:rPr>
              <m:t xml:space="preserve">j</m:t>
            </m:r>
          </m:sup>
        </m:sSubSup>
      </m:oMath>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плановое ремонтное снижение мощности по модернизируемым генерирующим объектом вне установленных сроков;</w:t>
      </w:r>
    </w:p>
    <w:p>
      <w:pPr>
        <w:pStyle w:val="Normal"/>
        <w:spacing w:lineRule="auto" w:line="276" w:before="20" w:after="20"/>
        <w:ind w:firstLine="709"/>
        <w:jc w:val="both"/>
        <w:rPr>
          <w:sz w:val="24"/>
          <w:szCs w:val="24"/>
        </w:rPr>
      </w:pPr>
      <w:r>
        <w:rPr/>
        <w:drawing>
          <wp:inline distT="0" distB="0" distL="0" distR="0">
            <wp:extent cx="545465" cy="273050"/>
            <wp:effectExtent l="0" t="0" r="0" b="0"/>
            <wp:docPr id="2"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3" descr=""/>
                    <pic:cNvPicPr>
                      <a:picLocks noChangeAspect="1" noChangeArrowheads="1"/>
                    </pic:cNvPicPr>
                  </pic:nvPicPr>
                  <pic:blipFill>
                    <a:blip r:embed="rId17"/>
                    <a:stretch>
                      <a:fillRect/>
                    </a:stretch>
                  </pic:blipFill>
                  <pic:spPr bwMode="auto">
                    <a:xfrm>
                      <a:off x="0" y="0"/>
                      <a:ext cx="545465" cy="273050"/>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для часов с порядковыми номерами от 120;</w:t>
      </w:r>
    </w:p>
    <w:p>
      <w:pPr>
        <w:pStyle w:val="Normal"/>
        <w:spacing w:lineRule="auto" w:line="276" w:before="20" w:after="20"/>
        <w:ind w:firstLine="709"/>
        <w:jc w:val="both"/>
        <w:rPr>
          <w:sz w:val="24"/>
          <w:szCs w:val="24"/>
        </w:rPr>
      </w:pPr>
      <w:r>
        <w:rPr/>
        <w:drawing>
          <wp:inline distT="0" distB="0" distL="0" distR="0">
            <wp:extent cx="524510" cy="266065"/>
            <wp:effectExtent l="0" t="0" r="0" b="0"/>
            <wp:docPr id="3"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4" descr=""/>
                    <pic:cNvPicPr>
                      <a:picLocks noChangeAspect="1" noChangeArrowheads="1"/>
                    </pic:cNvPicPr>
                  </pic:nvPicPr>
                  <pic:blipFill>
                    <a:blip r:embed="rId18"/>
                    <a:stretch>
                      <a:fillRect/>
                    </a:stretch>
                  </pic:blipFill>
                  <pic:spPr bwMode="auto">
                    <a:xfrm>
                      <a:off x="0" y="0"/>
                      <a:ext cx="524510" cy="266065"/>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заявленное в уведомлении о составе и параметрах оборудования, поданного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pPr>
        <w:pStyle w:val="Normal"/>
        <w:spacing w:lineRule="auto" w:line="276" w:before="20" w:after="20"/>
        <w:ind w:firstLine="709"/>
        <w:jc w:val="both"/>
        <w:rPr>
          <w:sz w:val="24"/>
          <w:szCs w:val="24"/>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m:rPr>
                    <m:lit/>
                    <m:nor/>
                  </m:rPr>
                  <w:rPr>
                    <w:rFonts w:ascii="Cambria Math" w:hAnsi="Cambria Math"/>
                  </w:rPr>
                  <m:t xml:space="preserve">2_max,</m:t>
                </m:r>
                <m:r>
                  <w:rPr>
                    <w:rFonts w:ascii="Cambria Math" w:hAnsi="Cambria Math"/>
                  </w:rPr>
                  <m:t xml:space="preserve">h</m:t>
                </m:r>
              </m:sub>
              <m:sup>
                <m:r>
                  <w:rPr>
                    <w:rFonts w:ascii="Cambria Math" w:hAnsi="Cambria Math"/>
                  </w:rPr>
                  <m:t xml:space="preserve">1</m:t>
                </m:r>
                <m:d>
                  <m:dPr>
                    <m:begChr m:val="("/>
                    <m:endChr m:val=")"/>
                  </m:dPr>
                  <m:e>
                    <m:r>
                      <m:rPr>
                        <m:lit/>
                        <m:nor/>
                      </m:rPr>
                      <w:rPr>
                        <w:rFonts w:ascii="Cambria Math" w:hAnsi="Cambria Math"/>
                      </w:rPr>
                      <m:t xml:space="preserve">120</m:t>
                    </m:r>
                  </m:e>
                </m:d>
              </m:sup>
            </m:sSubSup>
          </m:sup>
        </m:sSup>
      </m:oMath>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в уведомлении о составе и параметрах оборудования, поданном в отношении суток Х+2 (уведомление ВСВГО), для часов с порядковыми номерами от 1 до 120;</w:t>
      </w:r>
    </w:p>
    <w:p>
      <w:pPr>
        <w:pStyle w:val="Normal"/>
        <w:spacing w:lineRule="auto" w:line="276" w:before="20" w:after="20"/>
        <w:ind w:firstLine="709"/>
        <w:jc w:val="both"/>
        <w:rPr>
          <w:sz w:val="24"/>
          <w:szCs w:val="24"/>
        </w:rPr>
      </w:pPr>
      <w:r>
        <w:rPr/>
        <w:drawing>
          <wp:inline distT="0" distB="0" distL="0" distR="0">
            <wp:extent cx="532130" cy="272415"/>
            <wp:effectExtent l="0" t="0" r="0" b="0"/>
            <wp:docPr id="4"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5" descr=""/>
                    <pic:cNvPicPr>
                      <a:picLocks noChangeAspect="1" noChangeArrowheads="1"/>
                    </pic:cNvPicPr>
                  </pic:nvPicPr>
                  <pic:blipFill>
                    <a:blip r:embed="rId19"/>
                    <a:stretch>
                      <a:fillRect/>
                    </a:stretch>
                  </pic:blipFill>
                  <pic:spPr bwMode="auto">
                    <a:xfrm>
                      <a:off x="0" y="0"/>
                      <a:ext cx="532130" cy="272415"/>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 xml:space="preserve">снижение мощности ГТП генерации фиксируемое на основании данных, заявляемых участником ОРЭ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(уведомлениях РСВ) в уведомлении о составе и параметрах оборудования и разрешенных внеплановых заявках на снижение максимальной мощности; </w:t>
      </w:r>
    </w:p>
    <w:p>
      <w:pPr>
        <w:pStyle w:val="Normal"/>
        <w:spacing w:lineRule="auto" w:line="276" w:before="20" w:after="20"/>
        <w:ind w:firstLine="709"/>
        <w:jc w:val="both"/>
        <w:rPr>
          <w:sz w:val="24"/>
          <w:szCs w:val="24"/>
        </w:rPr>
      </w:pPr>
      <w:r>
        <w:rPr/>
        <w:drawing>
          <wp:inline distT="0" distB="0" distL="0" distR="0">
            <wp:extent cx="526415" cy="262890"/>
            <wp:effectExtent l="0" t="0" r="0" b="0"/>
            <wp:docPr id="5"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6" descr=""/>
                    <pic:cNvPicPr>
                      <a:picLocks noChangeAspect="1" noChangeArrowheads="1"/>
                    </pic:cNvPicPr>
                  </pic:nvPicPr>
                  <pic:blipFill>
                    <a:blip r:embed="rId20"/>
                    <a:stretch>
                      <a:fillRect/>
                    </a:stretch>
                  </pic:blipFill>
                  <pic:spPr bwMode="auto">
                    <a:xfrm>
                      <a:off x="0" y="0"/>
                      <a:ext cx="526415" cy="262890"/>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pPr>
        <w:pStyle w:val="Normal"/>
        <w:spacing w:lineRule="auto" w:line="276" w:before="20" w:after="20"/>
        <w:ind w:firstLine="709"/>
        <w:jc w:val="both"/>
        <w:rPr>
          <w:sz w:val="24"/>
          <w:szCs w:val="24"/>
        </w:rPr>
      </w:pPr>
      <w:r>
        <w:rPr/>
        <w:drawing>
          <wp:inline distT="0" distB="0" distL="0" distR="0">
            <wp:extent cx="620395" cy="320040"/>
            <wp:effectExtent l="0" t="0" r="0" b="0"/>
            <wp:docPr id="6"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7" descr=""/>
                    <pic:cNvPicPr>
                      <a:picLocks noChangeAspect="1" noChangeArrowheads="1"/>
                    </pic:cNvPicPr>
                  </pic:nvPicPr>
                  <pic:blipFill>
                    <a:blip r:embed="rId21"/>
                    <a:stretch>
                      <a:fillRect/>
                    </a:stretch>
                  </pic:blipFill>
                  <pic:spPr bwMode="auto">
                    <a:xfrm>
                      <a:off x="0" y="0"/>
                      <a:ext cx="620395" cy="320040"/>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(n-4) суток Х;</w:t>
      </w:r>
    </w:p>
    <w:p>
      <w:pPr>
        <w:pStyle w:val="Normal"/>
        <w:spacing w:lineRule="auto" w:line="276" w:before="20" w:after="20"/>
        <w:ind w:firstLine="709"/>
        <w:jc w:val="both"/>
        <w:rPr>
          <w:sz w:val="24"/>
          <w:szCs w:val="24"/>
        </w:rPr>
      </w:pPr>
      <w:r>
        <w:rPr/>
        <w:drawing>
          <wp:inline distT="0" distB="0" distL="0" distR="0">
            <wp:extent cx="526415" cy="262890"/>
            <wp:effectExtent l="0" t="0" r="0" b="0"/>
            <wp:docPr id="7"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8" descr=""/>
                    <pic:cNvPicPr>
                      <a:picLocks noChangeAspect="1" noChangeArrowheads="1"/>
                    </pic:cNvPicPr>
                  </pic:nvPicPr>
                  <pic:blipFill>
                    <a:blip r:embed="rId22"/>
                    <a:stretch>
                      <a:fillRect/>
                    </a:stretch>
                  </pic:blipFill>
                  <pic:spPr bwMode="auto">
                    <a:xfrm>
                      <a:off x="0" y="0"/>
                      <a:ext cx="526415" cy="262890"/>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(n-4) суток Х;</w:t>
      </w:r>
    </w:p>
    <w:p>
      <w:pPr>
        <w:pStyle w:val="Normal"/>
        <w:spacing w:lineRule="auto" w:line="276" w:before="20" w:after="20"/>
        <w:ind w:firstLine="709"/>
        <w:jc w:val="both"/>
        <w:rPr>
          <w:sz w:val="24"/>
          <w:szCs w:val="24"/>
        </w:rPr>
      </w:pPr>
      <w:r>
        <w:rPr/>
        <w:drawing>
          <wp:inline distT="0" distB="0" distL="0" distR="0">
            <wp:extent cx="511810" cy="241300"/>
            <wp:effectExtent l="0" t="0" r="0" b="0"/>
            <wp:docPr id="8"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9" descr=""/>
                    <pic:cNvPicPr>
                      <a:picLocks noChangeAspect="1" noChangeArrowheads="1"/>
                    </pic:cNvPicPr>
                  </pic:nvPicPr>
                  <pic:blipFill>
                    <a:blip r:embed="rId23"/>
                    <a:stretch>
                      <a:fillRect/>
                    </a:stretch>
                  </pic:blipFill>
                  <pic:spPr bwMode="auto">
                    <a:xfrm>
                      <a:off x="0" y="0"/>
                      <a:ext cx="511810" cy="241300"/>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pPr>
        <w:pStyle w:val="Normal"/>
        <w:spacing w:lineRule="auto" w:line="276" w:before="20" w:after="20"/>
        <w:ind w:firstLine="709"/>
        <w:jc w:val="both"/>
        <w:rPr>
          <w:sz w:val="24"/>
          <w:szCs w:val="24"/>
        </w:rPr>
      </w:pPr>
      <w:r>
        <w:rPr/>
        <w:drawing>
          <wp:inline distT="0" distB="0" distL="0" distR="0">
            <wp:extent cx="497205" cy="240665"/>
            <wp:effectExtent l="0" t="0" r="0" b="0"/>
            <wp:docPr id="9"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10" descr=""/>
                    <pic:cNvPicPr>
                      <a:picLocks noChangeAspect="1" noChangeArrowheads="1"/>
                    </pic:cNvPicPr>
                  </pic:nvPicPr>
                  <pic:blipFill>
                    <a:blip r:embed="rId24"/>
                    <a:stretch>
                      <a:fillRect/>
                    </a:stretch>
                  </pic:blipFill>
                  <pic:spPr bwMode="auto">
                    <a:xfrm>
                      <a:off x="0" y="0"/>
                      <a:ext cx="497205" cy="240665"/>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pPr>
        <w:pStyle w:val="Normal"/>
        <w:spacing w:lineRule="auto" w:line="276" w:before="20" w:after="20"/>
        <w:ind w:firstLine="709"/>
        <w:jc w:val="both"/>
        <w:rPr>
          <w:sz w:val="24"/>
          <w:szCs w:val="24"/>
        </w:rPr>
      </w:pPr>
      <w:r>
        <w:rPr/>
        <w:drawing>
          <wp:inline distT="0" distB="0" distL="0" distR="0">
            <wp:extent cx="914400" cy="285115"/>
            <wp:effectExtent l="0" t="0" r="0" b="0"/>
            <wp:docPr id="10"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11" descr=""/>
                    <pic:cNvPicPr>
                      <a:picLocks noChangeAspect="1" noChangeArrowheads="1"/>
                    </pic:cNvPicPr>
                  </pic:nvPicPr>
                  <pic:blipFill>
                    <a:blip r:embed="rId25"/>
                    <a:stretch>
                      <a:fillRect/>
                    </a:stretch>
                  </pic:blipFill>
                  <pic:spPr bwMode="auto">
                    <a:xfrm>
                      <a:off x="0" y="0"/>
                      <a:ext cx="914400" cy="285115"/>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pPr>
        <w:pStyle w:val="Normal"/>
        <w:spacing w:lineRule="auto" w:line="276" w:before="20" w:after="20"/>
        <w:ind w:firstLine="709"/>
        <w:jc w:val="both"/>
        <w:rPr>
          <w:sz w:val="24"/>
          <w:szCs w:val="24"/>
        </w:rPr>
      </w:pPr>
      <w:r>
        <w:rPr/>
        <w:drawing>
          <wp:inline distT="0" distB="0" distL="0" distR="0">
            <wp:extent cx="1052830" cy="357505"/>
            <wp:effectExtent l="0" t="0" r="0" b="0"/>
            <wp:docPr id="11" name="Изображение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12" descr=""/>
                    <pic:cNvPicPr>
                      <a:picLocks noChangeAspect="1" noChangeArrowheads="1"/>
                    </pic:cNvPicPr>
                  </pic:nvPicPr>
                  <pic:blipFill>
                    <a:blip r:embed="rId26"/>
                    <a:stretch>
                      <a:fillRect/>
                    </a:stretch>
                  </pic:blipFill>
                  <pic:spPr bwMode="auto">
                    <a:xfrm>
                      <a:off x="0" y="0"/>
                      <a:ext cx="1052830" cy="357505"/>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регистрируется при согласованном увеличении времени включения в сеть;</w:t>
      </w:r>
    </w:p>
    <w:p>
      <w:pPr>
        <w:pStyle w:val="Normal"/>
        <w:spacing w:lineRule="auto" w:line="276" w:before="20" w:after="20"/>
        <w:ind w:firstLine="709"/>
        <w:jc w:val="both"/>
        <w:rPr>
          <w:sz w:val="24"/>
          <w:szCs w:val="24"/>
        </w:rPr>
      </w:pPr>
      <w:r>
        <w:rPr/>
        <w:drawing>
          <wp:inline distT="0" distB="0" distL="0" distR="0">
            <wp:extent cx="958215" cy="313690"/>
            <wp:effectExtent l="0" t="0" r="0" b="0"/>
            <wp:docPr id="12" name="Изображение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13" descr=""/>
                    <pic:cNvPicPr>
                      <a:picLocks noChangeAspect="1" noChangeArrowheads="1"/>
                    </pic:cNvPicPr>
                  </pic:nvPicPr>
                  <pic:blipFill>
                    <a:blip r:embed="rId27"/>
                    <a:stretch>
                      <a:fillRect/>
                    </a:stretch>
                  </pic:blipFill>
                  <pic:spPr bwMode="auto">
                    <a:xfrm>
                      <a:off x="0" y="0"/>
                      <a:ext cx="958215" cy="313690"/>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регистрируется при фактическом включении в сеть генерирующего оборудования со временем, превышающим время нормативного включения в сеть;</w:t>
      </w:r>
    </w:p>
    <w:p>
      <w:pPr>
        <w:pStyle w:val="Normal"/>
        <w:spacing w:lineRule="auto" w:line="240" w:before="20" w:after="20"/>
        <w:ind w:firstLine="709"/>
        <w:rPr>
          <w:sz w:val="24"/>
          <w:szCs w:val="24"/>
        </w:rPr>
      </w:pPr>
      <w:r>
        <w:rPr/>
        <w:drawing>
          <wp:inline distT="0" distB="0" distL="0" distR="0">
            <wp:extent cx="368300" cy="285750"/>
            <wp:effectExtent l="0" t="0" r="0" b="0"/>
            <wp:docPr id="13" name="Изображение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14" descr=""/>
                    <pic:cNvPicPr>
                      <a:picLocks noChangeAspect="1" noChangeArrowheads="1"/>
                    </pic:cNvPicPr>
                  </pic:nvPicPr>
                  <pic:blipFill>
                    <a:blip r:embed="rId28"/>
                    <a:stretch>
                      <a:fillRect/>
                    </a:stretch>
                  </pic:blipFill>
                  <pic:spPr bwMode="auto">
                    <a:xfrm>
                      <a:off x="0" y="0"/>
                      <a:ext cx="368300" cy="285750"/>
                    </a:xfrm>
                    <a:prstGeom prst="rect">
                      <a:avLst/>
                    </a:prstGeom>
                  </pic:spPr>
                </pic:pic>
              </a:graphicData>
            </a:graphic>
          </wp:inline>
        </w:drawing>
      </w:r>
      <w:r>
        <w:rPr>
          <w:rFonts w:eastAsia="Times New Roman" w:cs="Times New Roman"/>
          <w:sz w:val="24"/>
          <w:szCs w:val="24"/>
        </w:rPr>
        <w:t xml:space="preserve"> </w:t>
      </w:r>
      <w:r>
        <w:rPr>
          <w:rFonts w:cs="Times New Roman"/>
          <w:sz w:val="24"/>
          <w:szCs w:val="24"/>
        </w:rPr>
        <w:t>–</w:t>
      </w:r>
      <w:r>
        <w:rPr>
          <w:rFonts w:eastAsia="Times New Roman" w:cs="Times New Roman"/>
          <w:sz w:val="24"/>
          <w:szCs w:val="24"/>
        </w:rPr>
        <w:t xml:space="preserve"> </w:t>
      </w:r>
      <w:r>
        <w:rPr>
          <w:rFonts w:cs="Times New Roman"/>
          <w:sz w:val="24"/>
          <w:szCs w:val="24"/>
        </w:rPr>
        <w:t>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pPr>
        <w:pStyle w:val="Normal"/>
        <w:spacing w:lineRule="auto" w:line="240" w:before="120" w:after="20"/>
        <w:ind w:firstLine="709"/>
        <w:rPr>
          <w:sz w:val="24"/>
          <w:szCs w:val="24"/>
        </w:rPr>
      </w:pPr>
      <w:r>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Pr/>
        <w:drawing>
          <wp:inline distT="0" distB="0" distL="0" distR="0">
            <wp:extent cx="336550" cy="267335"/>
            <wp:effectExtent l="0" t="0" r="0" b="0"/>
            <wp:docPr id="14" name="Рисунок 13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3 Копия 1" descr=""/>
                    <pic:cNvPicPr>
                      <a:picLocks noChangeAspect="1" noChangeArrowheads="1"/>
                    </pic:cNvPicPr>
                  </pic:nvPicPr>
                  <pic:blipFill>
                    <a:blip r:embed="rId29"/>
                    <a:stretch>
                      <a:fillRect/>
                    </a:stretch>
                  </pic:blipFill>
                  <pic:spPr bwMode="auto">
                    <a:xfrm>
                      <a:off x="0" y="0"/>
                      <a:ext cx="336550" cy="267335"/>
                    </a:xfrm>
                    <a:prstGeom prst="rect">
                      <a:avLst/>
                    </a:prstGeom>
                  </pic:spPr>
                </pic:pic>
              </a:graphicData>
            </a:graphic>
          </wp:inline>
        </w:drawing>
      </w:r>
      <w:r>
        <w:rPr>
          <w:sz w:val="24"/>
          <w:szCs w:val="24"/>
        </w:rPr>
        <w:t>, соответствующие объемам невыполнения требований в месяце, определяется по формуле:</w:t>
      </w:r>
    </w:p>
    <w:p>
      <w:pPr>
        <w:pStyle w:val="Normal"/>
        <w:spacing w:lineRule="auto" w:line="240" w:before="20" w:after="20"/>
        <w:jc w:val="center"/>
        <w:rPr>
          <w:sz w:val="24"/>
          <w:szCs w:val="24"/>
        </w:rPr>
      </w:pPr>
      <w:r>
        <w:rPr/>
        <w:drawing>
          <wp:inline distT="0" distB="0" distL="0" distR="0">
            <wp:extent cx="1371600" cy="673100"/>
            <wp:effectExtent l="0" t="0" r="0" b="0"/>
            <wp:docPr id="15" name="Рисунок 12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2 Копия 1" descr=""/>
                    <pic:cNvPicPr>
                      <a:picLocks noChangeAspect="1" noChangeArrowheads="1"/>
                    </pic:cNvPicPr>
                  </pic:nvPicPr>
                  <pic:blipFill>
                    <a:blip r:embed="rId30"/>
                    <a:stretch>
                      <a:fillRect/>
                    </a:stretch>
                  </pic:blipFill>
                  <pic:spPr bwMode="auto">
                    <a:xfrm>
                      <a:off x="0" y="0"/>
                      <a:ext cx="1371600" cy="673100"/>
                    </a:xfrm>
                    <a:prstGeom prst="rect">
                      <a:avLst/>
                    </a:prstGeom>
                  </pic:spPr>
                </pic:pic>
              </a:graphicData>
            </a:graphic>
          </wp:inline>
        </w:drawing>
      </w:r>
    </w:p>
    <w:p>
      <w:pPr>
        <w:pStyle w:val="Normal"/>
        <w:spacing w:lineRule="auto" w:line="240" w:before="20" w:after="20"/>
        <w:ind w:firstLine="709"/>
        <w:rPr>
          <w:sz w:val="24"/>
          <w:szCs w:val="24"/>
        </w:rPr>
      </w:pPr>
      <w:r>
        <w:rPr>
          <w:sz w:val="24"/>
          <w:szCs w:val="24"/>
        </w:rPr>
        <w:t>где:</w:t>
      </w:r>
    </w:p>
    <w:p>
      <w:pPr>
        <w:pStyle w:val="Normal"/>
        <w:spacing w:lineRule="auto" w:line="240" w:before="20" w:after="20"/>
        <w:ind w:firstLine="709"/>
        <w:rPr>
          <w:sz w:val="24"/>
          <w:szCs w:val="24"/>
        </w:rPr>
      </w:pPr>
      <w:r>
        <w:rPr/>
        <w:drawing>
          <wp:inline distT="0" distB="0" distL="0" distR="0">
            <wp:extent cx="293370" cy="267335"/>
            <wp:effectExtent l="0" t="0" r="0" b="0"/>
            <wp:docPr id="16" name="Рисунок 11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1 Копия 1" descr=""/>
                    <pic:cNvPicPr>
                      <a:picLocks noChangeAspect="1" noChangeArrowheads="1"/>
                    </pic:cNvPicPr>
                  </pic:nvPicPr>
                  <pic:blipFill>
                    <a:blip r:embed="rId31"/>
                    <a:stretch>
                      <a:fillRect/>
                    </a:stretch>
                  </pic:blipFill>
                  <pic:spPr bwMode="auto">
                    <a:xfrm>
                      <a:off x="0" y="0"/>
                      <a:ext cx="293370" cy="267335"/>
                    </a:xfrm>
                    <a:prstGeom prst="rect">
                      <a:avLst/>
                    </a:prstGeom>
                  </pic:spPr>
                </pic:pic>
              </a:graphicData>
            </a:graphic>
          </wp:inline>
        </w:drawing>
      </w:r>
      <w:r>
        <w:rPr>
          <w:sz w:val="24"/>
          <w:szCs w:val="24"/>
        </w:rPr>
        <w:t xml:space="preserve"> – </w:t>
      </w:r>
      <w:r>
        <w:rPr>
          <w:sz w:val="24"/>
          <w:szCs w:val="24"/>
        </w:rPr>
        <w:t>значения снижения мощности ГТПГ, установленные СО в ГРМ;</w:t>
      </w:r>
    </w:p>
    <w:p>
      <w:pPr>
        <w:pStyle w:val="Normal"/>
        <w:spacing w:lineRule="auto" w:line="240" w:before="20" w:after="20"/>
        <w:ind w:firstLine="709"/>
        <w:rPr>
          <w:sz w:val="24"/>
          <w:szCs w:val="24"/>
        </w:rPr>
      </w:pPr>
      <w:r>
        <w:rPr>
          <w:sz w:val="24"/>
          <w:szCs w:val="24"/>
        </w:rPr>
        <w:t xml:space="preserve">Н – количество часов, соответствующее расчетному месяцу m. </w:t>
      </w:r>
    </w:p>
    <w:p>
      <w:pPr>
        <w:pStyle w:val="Normal"/>
        <w:spacing w:lineRule="auto" w:line="240" w:before="20" w:after="20"/>
        <w:ind w:firstLine="709"/>
        <w:rPr>
          <w:sz w:val="24"/>
          <w:szCs w:val="24"/>
        </w:rPr>
      </w:pPr>
      <w:r>
        <w:rPr>
          <w:sz w:val="24"/>
          <w:szCs w:val="24"/>
        </w:rPr>
      </w:r>
    </w:p>
    <w:p>
      <w:pPr>
        <w:pStyle w:val="Normal"/>
        <w:spacing w:lineRule="auto" w:line="240" w:before="20" w:after="20"/>
        <w:ind w:firstLine="709"/>
        <w:rPr>
          <w:sz w:val="24"/>
          <w:szCs w:val="24"/>
        </w:rPr>
      </w:pPr>
      <w:r>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pPr>
        <w:pStyle w:val="Normal"/>
        <w:spacing w:lineRule="auto" w:line="240" w:before="120" w:after="20"/>
        <w:ind w:firstLine="709"/>
        <w:rPr>
          <w:sz w:val="24"/>
          <w:szCs w:val="24"/>
        </w:rPr>
      </w:pPr>
      <w:r>
        <w:rPr>
          <w:sz w:val="24"/>
          <w:szCs w:val="24"/>
        </w:rPr>
        <w:t>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
    <w:p>
      <w:pPr>
        <w:pStyle w:val="Normal"/>
        <w:spacing w:lineRule="auto" w:line="240" w:before="20" w:after="20"/>
        <w:ind w:firstLine="709"/>
        <w:rPr>
          <w:sz w:val="24"/>
          <w:szCs w:val="24"/>
        </w:rPr>
      </w:pPr>
      <w:r>
        <w:rPr>
          <w:sz w:val="24"/>
          <w:szCs w:val="24"/>
        </w:rPr>
      </w:r>
    </w:p>
    <w:p>
      <w:pPr>
        <w:pStyle w:val="Normal"/>
        <w:spacing w:lineRule="auto" w:line="240" w:before="20" w:after="20"/>
        <w:ind w:firstLine="709"/>
        <w:rPr>
          <w:sz w:val="24"/>
          <w:szCs w:val="24"/>
        </w:rPr>
      </w:pPr>
      <w:r>
        <w:rPr/>
      </w:r>
      <m:oMath xmlns:m="http://schemas.openxmlformats.org/officeDocument/2006/math"/>
      <w:r>
        <w:rPr/>
      </w:r>
      <m:oMath xmlns:m="http://schemas.openxmlformats.org/officeDocument/2006/math">
        <m:sSub>
          <m:e>
            <m:r>
              <w:rPr>
                <w:rFonts w:ascii="Cambria Math" w:hAnsi="Cambria Math"/>
              </w:rPr>
              <m:t xml:space="preserve">k</m:t>
            </m:r>
          </m:e>
          <m:sub>
            <m:r>
              <w:rPr>
                <w:rFonts w:ascii="Cambria Math" w:hAnsi="Cambria Math"/>
              </w:rPr>
              <m:t xml:space="preserve">Α</m:t>
            </m:r>
            <m:r>
              <w:rPr>
                <w:rFonts w:ascii="Cambria Math" w:hAnsi="Cambria Math"/>
              </w:rPr>
              <m:t xml:space="preserve">2</m:t>
            </m:r>
          </m:sub>
        </m:sSub>
      </m:oMath>
      <w:r>
        <w:rPr/>
      </w:r>
      <m:oMath xmlns:m="http://schemas.openxmlformats.org/officeDocument/2006/math">
        <m:sSub>
          <m:e>
            <m:r>
              <w:rPr>
                <w:rFonts w:ascii="Cambria Math" w:hAnsi="Cambria Math"/>
              </w:rPr>
              <m:t xml:space="preserve">k</m:t>
            </m:r>
          </m:e>
          <m:sub>
            <m:r>
              <w:rPr>
                <w:rFonts w:ascii="Cambria Math" w:hAnsi="Cambria Math"/>
              </w:rPr>
              <m:t xml:space="preserve">Α</m:t>
            </m:r>
            <m:r>
              <w:rPr>
                <w:rFonts w:ascii="Cambria Math" w:hAnsi="Cambria Math"/>
              </w:rPr>
              <m:t xml:space="preserve">3</m:t>
            </m:r>
          </m:sub>
        </m:sSub>
      </m:oMath>
      <w:r>
        <w:rPr/>
      </w:r>
      <m:oMath xmlns:m="http://schemas.openxmlformats.org/officeDocument/2006/math">
        <m:sSub>
          <m:e>
            <m:r>
              <w:rPr>
                <w:rFonts w:ascii="Cambria Math" w:hAnsi="Cambria Math"/>
              </w:rPr>
              <m:t xml:space="preserve">k</m:t>
            </m:r>
          </m:e>
          <m:sub>
            <m:r>
              <m:rPr>
                <m:lit/>
                <m:nor/>
              </m:rPr>
              <w:rPr>
                <w:rFonts w:ascii="Cambria Math" w:hAnsi="Cambria Math"/>
              </w:rPr>
              <m:t xml:space="preserve">Б1</m:t>
            </m:r>
          </m:sub>
        </m:sSub>
      </m:oMath>
      <w:r>
        <w:rPr/>
      </w:r>
      <m:oMath xmlns:m="http://schemas.openxmlformats.org/officeDocument/2006/math">
        <m:sSub>
          <m:e>
            <m:r>
              <w:rPr>
                <w:rFonts w:ascii="Cambria Math" w:hAnsi="Cambria Math"/>
              </w:rPr>
              <m:t xml:space="preserve">k</m:t>
            </m:r>
          </m:e>
          <m:sub>
            <m:r>
              <m:rPr>
                <m:lit/>
                <m:nor/>
              </m:rPr>
              <w:rPr>
                <w:rFonts w:ascii="Cambria Math" w:hAnsi="Cambria Math"/>
              </w:rPr>
              <m:t xml:space="preserve">Б2</m:t>
            </m:r>
          </m:sub>
        </m:sSub>
      </m:oMath>
      <w:r>
        <w:rPr/>
      </w:r>
      <m:oMath xmlns:m="http://schemas.openxmlformats.org/officeDocument/2006/math"/>
      <w:r>
        <w:rPr/>
      </w:r>
      <m:oMath xmlns:m="http://schemas.openxmlformats.org/officeDocument/2006/math"/>
      <w:r>
        <w:rPr/>
      </w:r>
      <m:oMath xmlns:m="http://schemas.openxmlformats.org/officeDocument/2006/math">
        <m:sSub>
          <m:e>
            <m:r>
              <w:rPr>
                <w:rFonts w:ascii="Cambria Math" w:hAnsi="Cambria Math"/>
              </w:rPr>
              <m:t xml:space="preserve">k</m:t>
            </m:r>
          </m:e>
          <m:sub>
            <m:r>
              <m:rPr>
                <m:lit/>
                <m:nor/>
              </m:rPr>
              <w:rPr>
                <w:rFonts w:ascii="Cambria Math" w:hAnsi="Cambria Math"/>
              </w:rPr>
              <m:t xml:space="preserve">В2</m:t>
            </m:r>
          </m:sub>
        </m:sSub>
      </m:oMath>
      <w:r>
        <w:rPr/>
      </w:r>
      <m:oMath xmlns:m="http://schemas.openxmlformats.org/officeDocument/2006/math">
        <m:sSub>
          <m:e>
            <m:r>
              <w:rPr>
                <w:rFonts w:ascii="Cambria Math" w:hAnsi="Cambria Math"/>
              </w:rPr>
              <m:t xml:space="preserve">k</m:t>
            </m:r>
          </m:e>
          <m:sub>
            <m:r>
              <m:rPr>
                <m:lit/>
                <m:nor/>
              </m:rPr>
              <w:rPr>
                <w:rFonts w:ascii="Cambria Math" w:hAnsi="Cambria Math"/>
              </w:rPr>
              <m:t xml:space="preserve">В3</m:t>
            </m:r>
          </m:sub>
        </m:sSub>
      </m:oMath>
      <w:r>
        <w:rPr/>
      </w:r>
      <m:oMath xmlns:m="http://schemas.openxmlformats.org/officeDocument/2006/math">
        <m:sSub>
          <m:e>
            <m:r>
              <w:rPr>
                <w:rFonts w:ascii="Cambria Math" w:hAnsi="Cambria Math"/>
              </w:rPr>
              <m:t xml:space="preserve">k</m:t>
            </m:r>
          </m:e>
          <m:sub>
            <m:r>
              <m:rPr>
                <m:lit/>
                <m:nor/>
              </m:rPr>
              <w:rPr>
                <w:rFonts w:ascii="Cambria Math" w:hAnsi="Cambria Math"/>
              </w:rPr>
              <m:t xml:space="preserve">Г1</m:t>
            </m:r>
          </m:sub>
        </m:sSub>
      </m:oMath>
      <w:r>
        <w:rPr/>
      </w:r>
      <m:oMath xmlns:m="http://schemas.openxmlformats.org/officeDocument/2006/math">
        <m:sSub>
          <m:e>
            <m:r>
              <w:rPr>
                <w:rFonts w:ascii="Cambria Math" w:hAnsi="Cambria Math"/>
              </w:rPr>
              <m:t xml:space="preserve">k</m:t>
            </m:r>
          </m:e>
          <m:sub>
            <m:r>
              <m:rPr>
                <m:lit/>
                <m:nor/>
              </m:rPr>
              <w:rPr>
                <w:rFonts w:ascii="Cambria Math" w:hAnsi="Cambria Math"/>
              </w:rPr>
              <m:t xml:space="preserve">Г2</m:t>
            </m:r>
          </m:sub>
        </m:sSub>
      </m:oMath>
      <w:r>
        <w:rPr/>
      </w:r>
      <m:oMath xmlns:m="http://schemas.openxmlformats.org/officeDocument/2006/math">
        <m:sSub>
          <m:e>
            <m:r>
              <w:rPr>
                <w:rFonts w:ascii="Cambria Math" w:hAnsi="Cambria Math"/>
              </w:rPr>
              <m:t xml:space="preserve">k</m:t>
            </m:r>
          </m:e>
          <m:sub>
            <m:r>
              <m:rPr>
                <m:lit/>
                <m:nor/>
              </m:rPr>
              <w:rPr>
                <w:rFonts w:ascii="Cambria Math" w:hAnsi="Cambria Math"/>
              </w:rPr>
              <m:t xml:space="preserve">Г3</m:t>
            </m:r>
          </m:sub>
        </m:sSub>
      </m:oMath>
      <w:r>
        <w:rPr/>
      </w:r>
      <m:oMath xmlns:m="http://schemas.openxmlformats.org/officeDocument/2006/math">
        <m:sSub>
          <m:e>
            <m:r>
              <w:rPr>
                <w:rFonts w:ascii="Cambria Math" w:hAnsi="Cambria Math"/>
              </w:rPr>
              <m:t xml:space="preserve">k</m:t>
            </m:r>
          </m:e>
          <m:sub>
            <m:r>
              <w:rPr>
                <w:rFonts w:ascii="Cambria Math" w:hAnsi="Cambria Math"/>
              </w:rPr>
              <m:t xml:space="preserve">Д</m:t>
            </m:r>
          </m:sub>
        </m:sSub>
      </m:oMath>
      <w:r>
        <w:rPr/>
      </w:r>
      <m:oMath xmlns:m="http://schemas.openxmlformats.org/officeDocument/2006/math">
        <m:sSub>
          <m:e>
            <m:r>
              <w:rPr>
                <w:rFonts w:ascii="Cambria Math" w:hAnsi="Cambria Math"/>
              </w:rPr>
              <m:t xml:space="preserve">k</m:t>
            </m:r>
          </m:e>
          <m:sub>
            <m:r>
              <w:rPr>
                <w:rFonts w:ascii="Cambria Math" w:hAnsi="Cambria Math"/>
              </w:rPr>
              <m:t xml:space="preserve">Е</m:t>
            </m:r>
          </m:sub>
        </m:sSub>
      </m:oMath>
      <w:r>
        <w:rPr/>
      </w:r>
      <m:oMath xmlns:m="http://schemas.openxmlformats.org/officeDocument/2006/math">
        <m:sSub>
          <m:e>
            <m:r>
              <w:rPr>
                <w:rFonts w:ascii="Cambria Math" w:hAnsi="Cambria Math"/>
              </w:rPr>
              <m:t xml:space="preserve">k</m:t>
            </m:r>
          </m:e>
          <m:sub>
            <m:r>
              <w:rPr>
                <w:rFonts w:ascii="Cambria Math" w:hAnsi="Cambria Math"/>
              </w:rPr>
              <m:t xml:space="preserve">Ж</m:t>
            </m:r>
          </m:sub>
        </m:sSub>
      </m:oMath>
      <w:r>
        <w:rPr/>
      </w:r>
      <m:oMath xmlns:m="http://schemas.openxmlformats.org/officeDocument/2006/math">
        <m:sSub>
          <m:e>
            <m:r>
              <w:rPr>
                <w:rFonts w:ascii="Cambria Math" w:hAnsi="Cambria Math"/>
              </w:rPr>
              <m:t xml:space="preserve">k</m:t>
            </m:r>
          </m:e>
          <m:sub>
            <m:r>
              <w:rPr>
                <w:rFonts w:ascii="Cambria Math" w:hAnsi="Cambria Math"/>
              </w:rPr>
              <m:t xml:space="preserve">З</m:t>
            </m:r>
          </m:sub>
        </m:sSub>
      </m:oMath>
      <w:r>
        <w:rPr/>
      </w:r>
      <m:oMath xmlns:m="http://schemas.openxmlformats.org/officeDocument/2006/math">
        <m:sSub>
          <m:e>
            <m:r>
              <w:rPr>
                <w:rFonts w:ascii="Cambria Math" w:hAnsi="Cambria Math"/>
              </w:rPr>
              <m:t xml:space="preserve">k</m:t>
            </m:r>
          </m:e>
          <m:sub>
            <m:r>
              <w:rPr>
                <w:rFonts w:ascii="Cambria Math" w:hAnsi="Cambria Math"/>
              </w:rPr>
              <m:t xml:space="preserve">И</m:t>
            </m:r>
          </m:sub>
        </m:sSub>
      </m:oMath>
      <w:r>
        <w:rPr/>
      </w:r>
      <m:oMath xmlns:m="http://schemas.openxmlformats.org/officeDocument/2006/math">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гот,j</m:t>
                </m:r>
              </m:sup>
            </m:sSubSup>
          </m:sub>
        </m:sSub>
        <m:r>
          <w:rPr>
            <w:rFonts w:ascii="Cambria Math" w:hAnsi="Cambria Math"/>
          </w:rPr>
          <m:t xml:space="preserve">=</m:t>
        </m:r>
        <m:nary>
          <m:naryPr>
            <m:chr m:val="∑"/>
            <m:supHide m:val="1"/>
          </m:naryPr>
          <m:sub>
            <m:r>
              <w:rPr>
                <w:rFonts w:ascii="Cambria Math" w:hAnsi="Cambria Math"/>
              </w:rPr>
              <m:t xml:space="preserve">n</m:t>
            </m:r>
          </m:sub>
          <m:sup/>
          <m:e>
            <m:d>
              <m:dPr>
                <m:begChr m:val="("/>
                <m:endChr m:val=")"/>
              </m:dPr>
              <m:e>
                <m:sSub>
                  <m:e>
                    <m:r>
                      <w:rPr>
                        <w:rFonts w:ascii="Cambria Math" w:hAnsi="Cambria Math"/>
                      </w:rPr>
                      <m:t xml:space="preserve">k</m:t>
                    </m:r>
                  </m:e>
                  <m:sub>
                    <m:r>
                      <w:rPr>
                        <w:rFonts w:ascii="Cambria Math" w:hAnsi="Cambria Math"/>
                      </w:rPr>
                      <m:t xml:space="preserve">n</m:t>
                    </m:r>
                  </m:sub>
                </m:sSub>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n</m:t>
                        </m:r>
                      </m:sub>
                    </m:sSub>
                  </m:sup>
                </m:sSup>
              </m:e>
            </m:d>
            <m:r>
              <w:rPr>
                <w:rFonts w:ascii="Cambria Math" w:hAnsi="Cambria Math"/>
              </w:rPr>
              <m:t xml:space="preserve">+</m:t>
            </m:r>
            <m:nary>
              <m:naryPr>
                <m:chr m:val="∑"/>
                <m:supHide m:val="1"/>
              </m:naryPr>
              <m:sub>
                <m:r>
                  <w:rPr>
                    <w:rFonts w:ascii="Cambria Math" w:hAnsi="Cambria Math"/>
                  </w:rPr>
                  <m:t xml:space="preserve">l</m:t>
                </m:r>
              </m:sub>
              <m:sup/>
              <m:e>
                <m:d>
                  <m:dPr>
                    <m:begChr m:val="("/>
                    <m:endChr m:val=")"/>
                  </m:dPr>
                  <m:e>
                    <m:sSub>
                      <m:e>
                        <m:r>
                          <w:rPr>
                            <w:rFonts w:ascii="Cambria Math" w:hAnsi="Cambria Math"/>
                          </w:rPr>
                          <m:t xml:space="preserve">k</m:t>
                        </m:r>
                      </m:e>
                      <m:sub>
                        <m:r>
                          <w:rPr>
                            <w:rFonts w:ascii="Cambria Math" w:hAnsi="Cambria Math"/>
                          </w:rPr>
                          <m:t xml:space="preserve">l</m:t>
                        </m:r>
                      </m:sub>
                    </m:sSub>
                    <m:r>
                      <w:rPr>
                        <w:rFonts w:ascii="Cambria Math" w:hAnsi="Cambria Math"/>
                      </w:rPr>
                      <m:t xml:space="preserve">⋅</m:t>
                    </m:r>
                    <m:sSubSup>
                      <m:e>
                        <m:r>
                          <w:rPr>
                            <w:rFonts w:ascii="Cambria Math" w:hAnsi="Cambria Math"/>
                          </w:rPr>
                          <m:t xml:space="preserve">k</m:t>
                        </m:r>
                      </m:e>
                      <m:sub>
                        <m:r>
                          <m:rPr>
                            <m:lit/>
                            <m:nor/>
                          </m:rPr>
                          <w:rPr>
                            <w:rFonts w:ascii="Cambria Math" w:hAnsi="Cambria Math"/>
                          </w:rPr>
                          <m:t xml:space="preserve">диф,m</m:t>
                        </m:r>
                      </m:sub>
                      <m:sup>
                        <m:r>
                          <w:rPr>
                            <w:rFonts w:ascii="Cambria Math" w:hAnsi="Cambria Math"/>
                          </w:rPr>
                          <m:t xml:space="preserve">j</m:t>
                        </m:r>
                      </m:sup>
                    </m:sSubSup>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l</m:t>
                            </m:r>
                          </m:sub>
                        </m:sSub>
                      </m:sup>
                    </m:sSup>
                  </m:e>
                </m:d>
              </m:e>
            </m:nary>
          </m:e>
        </m:nary>
      </m:oMath>
    </w:p>
    <w:p>
      <w:pPr>
        <w:pStyle w:val="Normal"/>
        <w:spacing w:lineRule="auto" w:line="276" w:before="0" w:after="200"/>
        <w:ind w:firstLine="709"/>
        <w:rPr>
          <w:rFonts w:ascii="Times New Roman" w:hAnsi="Times New Roman" w:eastAsia="Arial" w:cs="Times New Roman"/>
          <w:sz w:val="24"/>
          <w:szCs w:val="24"/>
        </w:rPr>
      </w:pPr>
      <w:r>
        <w:rPr>
          <w:rFonts w:eastAsia="Arial" w:cs="Times New Roman"/>
          <w:sz w:val="24"/>
          <w:szCs w:val="24"/>
        </w:rPr>
        <w:t>где:</w:t>
        <w:tab/>
      </w:r>
    </w:p>
    <w:p>
      <w:pPr>
        <w:pStyle w:val="Normal"/>
        <w:numPr>
          <w:ilvl w:val="0"/>
          <w:numId w:val="0"/>
        </w:numPr>
        <w:spacing w:lineRule="auto" w:line="276" w:before="120" w:after="120"/>
        <w:ind w:left="0" w:firstLine="567"/>
        <w:jc w:val="both"/>
        <w:outlineLvl w:val="3"/>
        <w:rPr>
          <w:sz w:val="24"/>
          <w:szCs w:val="24"/>
        </w:rPr>
      </w:pPr>
      <w:r>
        <w:rPr/>
        <w:drawing>
          <wp:inline distT="0" distB="0" distL="0" distR="0">
            <wp:extent cx="185420" cy="228600"/>
            <wp:effectExtent l="0" t="0" r="0" b="0"/>
            <wp:docPr id="17" name="Изображение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18" descr=""/>
                    <pic:cNvPicPr>
                      <a:picLocks noChangeAspect="1" noChangeArrowheads="1"/>
                    </pic:cNvPicPr>
                  </pic:nvPicPr>
                  <pic:blipFill>
                    <a:blip r:embed="rId32"/>
                    <a:stretch>
                      <a:fillRect/>
                    </a:stretch>
                  </pic:blipFill>
                  <pic:spPr bwMode="auto">
                    <a:xfrm>
                      <a:off x="0" y="0"/>
                      <a:ext cx="185420" cy="228600"/>
                    </a:xfrm>
                    <a:prstGeom prst="rect">
                      <a:avLst/>
                    </a:prstGeom>
                  </pic:spPr>
                </pic:pic>
              </a:graphicData>
            </a:graphic>
          </wp:inline>
        </w:drawing>
      </w:r>
      <w:r>
        <w:rPr>
          <w:rFonts w:eastAsia="Times New Roman" w:cs="Times New Roman"/>
          <w:sz w:val="24"/>
          <w:szCs w:val="24"/>
        </w:rPr>
        <w:t xml:space="preserve"> </w:t>
      </w:r>
      <w:r>
        <w:rPr>
          <w:rFonts w:eastAsia="Arial" w:cs="Times New Roman"/>
          <w:sz w:val="24"/>
          <w:szCs w:val="24"/>
        </w:rPr>
        <w:t>―</w:t>
      </w:r>
      <w:r>
        <w:rPr>
          <w:rFonts w:eastAsia="Times New Roman" w:cs="Times New Roman"/>
          <w:sz w:val="24"/>
          <w:szCs w:val="24"/>
        </w:rPr>
        <w:t xml:space="preserve"> </w:t>
      </w:r>
      <w:r>
        <w:rPr>
          <w:rFonts w:eastAsia="Arial" w:cs="Times New Roman"/>
          <w:sz w:val="24"/>
          <w:szCs w:val="24"/>
        </w:rPr>
        <w:t xml:space="preserve">коэффициенты </w:t>
      </w:r>
      <w:r>
        <w:rPr>
          <w:rFonts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1</m:t>
            </m:r>
          </m:sub>
        </m:sSub>
      </m:oMath>
      <w:r>
        <w:rPr>
          <w:rFonts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2</m:t>
            </m:r>
          </m:sub>
        </m:sSub>
      </m:oMath>
      <w:r>
        <w:rPr>
          <w:rFonts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rFonts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rFonts w:cs="Times New Roman"/>
          <w:sz w:val="24"/>
          <w:szCs w:val="24"/>
        </w:rPr>
        <w:t>)</w:t>
      </w:r>
    </w:p>
    <w:p>
      <w:pPr>
        <w:pStyle w:val="Normal"/>
        <w:numPr>
          <w:ilvl w:val="0"/>
          <w:numId w:val="0"/>
        </w:numPr>
        <w:spacing w:lineRule="auto" w:line="276" w:before="120" w:after="120"/>
        <w:ind w:left="0" w:firstLine="567"/>
        <w:jc w:val="both"/>
        <w:outlineLvl w:val="3"/>
        <w:rPr>
          <w:sz w:val="24"/>
          <w:szCs w:val="24"/>
        </w:rPr>
      </w:pPr>
      <w:r>
        <w:rPr/>
        <w:drawing>
          <wp:inline distT="0" distB="0" distL="0" distR="0">
            <wp:extent cx="184785" cy="277495"/>
            <wp:effectExtent l="0" t="0" r="0" b="0"/>
            <wp:docPr id="18" name="Изображение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19" descr=""/>
                    <pic:cNvPicPr>
                      <a:picLocks noChangeAspect="1" noChangeArrowheads="1"/>
                    </pic:cNvPicPr>
                  </pic:nvPicPr>
                  <pic:blipFill>
                    <a:blip r:embed="rId33"/>
                    <a:stretch>
                      <a:fillRect/>
                    </a:stretch>
                  </pic:blipFill>
                  <pic:spPr bwMode="auto">
                    <a:xfrm>
                      <a:off x="0" y="0"/>
                      <a:ext cx="184785" cy="277495"/>
                    </a:xfrm>
                    <a:prstGeom prst="rect">
                      <a:avLst/>
                    </a:prstGeom>
                  </pic:spPr>
                </pic:pic>
              </a:graphicData>
            </a:graphic>
          </wp:inline>
        </w:drawing>
      </w:r>
      <w:r>
        <w:rPr>
          <w:rFonts w:eastAsia="Times New Roman" w:cs="Times New Roman"/>
          <w:sz w:val="24"/>
          <w:szCs w:val="24"/>
        </w:rPr>
        <w:t xml:space="preserve"> </w:t>
      </w:r>
      <w:r>
        <w:rPr>
          <w:rFonts w:eastAsia="Arial" w:cs="Times New Roman"/>
          <w:sz w:val="24"/>
          <w:szCs w:val="24"/>
        </w:rPr>
        <w:t>―</w:t>
      </w:r>
      <w:r>
        <w:rPr>
          <w:rFonts w:eastAsia="Times New Roman" w:cs="Times New Roman"/>
          <w:sz w:val="24"/>
          <w:szCs w:val="24"/>
        </w:rPr>
        <w:t xml:space="preserve"> </w:t>
      </w:r>
      <w:r>
        <w:rPr>
          <w:rFonts w:eastAsia="Arial" w:cs="Times New Roman"/>
          <w:sz w:val="24"/>
          <w:szCs w:val="24"/>
        </w:rPr>
        <w:t>коэффициенты (</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2</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3</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4</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5</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6</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7</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1</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2</m:t>
            </m:r>
          </m:sub>
        </m:sSub>
      </m:oMath>
      <w:r>
        <w:rPr>
          <w:rFonts w:eastAsia="Arial" w:cs="Times New Roman"/>
          <w:sz w:val="24"/>
          <w:szCs w:val="24"/>
        </w:rPr>
        <w:t>,</w:t>
      </w:r>
      <w:r>
        <w:rPr/>
      </w:r>
      <m:oMath xmlns:m="http://schemas.openxmlformats.org/officeDocument/2006/math">
        <m:sSub>
          <m:e>
            <m:r>
              <w:rPr>
                <w:rFonts w:ascii="Cambria Math" w:hAnsi="Cambria Math"/>
              </w:rPr>
              <m:t xml:space="preserve">k</m:t>
            </m:r>
          </m:e>
          <m:sub>
            <m:r>
              <w:rPr>
                <w:rFonts w:ascii="Cambria Math" w:hAnsi="Cambria Math"/>
              </w:rPr>
              <m:t xml:space="preserve">9</m:t>
            </m:r>
          </m:sub>
        </m:sSub>
      </m:oMath>
      <w:r>
        <w:rPr>
          <w:rFonts w:eastAsia="Arial" w:cs="Times New Roman"/>
          <w:sz w:val="24"/>
          <w:szCs w:val="24"/>
        </w:rPr>
        <w:t xml:space="preserve">), </w:t>
      </w:r>
    </w:p>
    <w:p>
      <w:pPr>
        <w:pStyle w:val="Normal"/>
        <w:numPr>
          <w:ilvl w:val="0"/>
          <w:numId w:val="0"/>
        </w:numPr>
        <w:spacing w:lineRule="auto" w:line="276" w:before="120" w:after="120"/>
        <w:ind w:left="0" w:firstLine="567"/>
        <w:jc w:val="both"/>
        <w:outlineLvl w:val="3"/>
        <w:rPr>
          <w:sz w:val="24"/>
          <w:szCs w:val="24"/>
        </w:rPr>
      </w:pPr>
      <w:r>
        <w:rPr>
          <w:rFonts w:eastAsia="Arial" w:cs="Times New Roman"/>
          <w:sz w:val="24"/>
          <w:szCs w:val="24"/>
        </w:rPr>
        <w:t xml:space="preserve">определяемые для каждого из соответствующих им объемов невыполнения требований по готовности </w:t>
      </w:r>
      <w:r>
        <w:rPr/>
        <w:drawing>
          <wp:inline distT="0" distB="0" distL="0" distR="0">
            <wp:extent cx="277495" cy="277495"/>
            <wp:effectExtent l="0" t="0" r="0" b="0"/>
            <wp:docPr id="19" name="Изображение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20" descr=""/>
                    <pic:cNvPicPr>
                      <a:picLocks noChangeAspect="1" noChangeArrowheads="1"/>
                    </pic:cNvPicPr>
                  </pic:nvPicPr>
                  <pic:blipFill>
                    <a:blip r:embed="rId34"/>
                    <a:stretch>
                      <a:fillRect/>
                    </a:stretch>
                  </pic:blipFill>
                  <pic:spPr bwMode="auto">
                    <a:xfrm>
                      <a:off x="0" y="0"/>
                      <a:ext cx="277495" cy="277495"/>
                    </a:xfrm>
                    <a:prstGeom prst="rect">
                      <a:avLst/>
                    </a:prstGeom>
                  </pic:spPr>
                </pic:pic>
              </a:graphicData>
            </a:graphic>
          </wp:inline>
        </w:drawing>
      </w:r>
      <w:r>
        <w:rPr>
          <w:rFonts w:eastAsia="Arial" w:cs="Times New Roman"/>
          <w:sz w:val="24"/>
          <w:szCs w:val="24"/>
        </w:rPr>
        <w:t xml:space="preserve"> Правилами ОРЭМ (согласно Приложению 2 к Регламенту определения объемов фактически поставленной на оптовый рынок мощности, Приказ ФСТ  России от 03.03.2009 № 32-э/1).</w:t>
      </w:r>
    </w:p>
    <w:p>
      <w:pPr>
        <w:pStyle w:val="Normal"/>
        <w:numPr>
          <w:ilvl w:val="0"/>
          <w:numId w:val="0"/>
        </w:numPr>
        <w:spacing w:lineRule="auto" w:line="276" w:before="120" w:after="120"/>
        <w:ind w:left="0" w:firstLine="567"/>
        <w:jc w:val="both"/>
        <w:outlineLvl w:val="2"/>
        <w:rPr>
          <w:sz w:val="24"/>
          <w:szCs w:val="24"/>
        </w:rPr>
      </w:pPr>
      <w:r>
        <w:rPr>
          <w:rFonts w:eastAsia="Arial" w:cs="Times New Roman"/>
          <w:sz w:val="24"/>
          <w:szCs w:val="24"/>
        </w:rPr>
        <w:t xml:space="preserve">Для входящей в состав Дальневосточного федерального округа отдельной территории, ранее относившейся к неценовым зонам, </w:t>
      </w:r>
      <w:r>
        <w:rPr/>
        <w:drawing>
          <wp:inline distT="0" distB="0" distL="0" distR="0">
            <wp:extent cx="636270" cy="278130"/>
            <wp:effectExtent l="0" t="0" r="0" b="0"/>
            <wp:docPr id="20" name="Изображение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21" descr=""/>
                    <pic:cNvPicPr>
                      <a:picLocks noChangeAspect="1" noChangeArrowheads="1"/>
                    </pic:cNvPicPr>
                  </pic:nvPicPr>
                  <pic:blipFill>
                    <a:blip r:embed="rId35"/>
                    <a:stretch>
                      <a:fillRect/>
                    </a:stretch>
                  </pic:blipFill>
                  <pic:spPr bwMode="auto">
                    <a:xfrm>
                      <a:off x="0" y="0"/>
                      <a:ext cx="636270" cy="278130"/>
                    </a:xfrm>
                    <a:prstGeom prst="rect">
                      <a:avLst/>
                    </a:prstGeom>
                  </pic:spPr>
                </pic:pic>
              </a:graphicData>
            </a:graphic>
          </wp:inline>
        </w:drawing>
      </w:r>
      <w:r>
        <w:rPr>
          <w:rFonts w:eastAsia="Arial" w:cs="Times New Roman"/>
          <w:sz w:val="24"/>
          <w:szCs w:val="24"/>
        </w:rPr>
        <w:t>.</w:t>
      </w:r>
    </w:p>
    <w:p>
      <w:pPr>
        <w:pStyle w:val="Normal"/>
        <w:spacing w:lineRule="auto" w:line="276" w:before="0" w:after="200"/>
        <w:ind w:firstLine="567"/>
        <w:jc w:val="both"/>
        <w:rPr>
          <w:rFonts w:ascii="Times New Roman" w:hAnsi="Times New Roman" w:eastAsia="Arial" w:cs="Times New Roman"/>
          <w:sz w:val="24"/>
          <w:szCs w:val="24"/>
        </w:rPr>
      </w:pPr>
      <w:r>
        <w:rPr>
          <w:rFonts w:eastAsia="Arial" w:cs="Times New Roman"/>
          <w:sz w:val="24"/>
          <w:szCs w:val="24"/>
        </w:rPr>
        <w:t xml:space="preserve">В соответствии с Постановлением Правительства РФ от 27.12.2010 N 1172 (ред. от 04.02.2025)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w:t>
      </w:r>
    </w:p>
    <w:p>
      <w:pPr>
        <w:pStyle w:val="Normal"/>
        <w:spacing w:lineRule="auto" w:line="276" w:before="0" w:after="200"/>
        <w:ind w:firstLine="567"/>
        <w:jc w:val="both"/>
        <w:rPr>
          <w:rFonts w:ascii="Times New Roman" w:hAnsi="Times New Roman" w:eastAsia="Arial" w:cs="Times New Roman"/>
          <w:sz w:val="24"/>
          <w:szCs w:val="24"/>
        </w:rPr>
      </w:pPr>
      <w:r>
        <w:rPr>
          <w:rFonts w:eastAsia="Arial" w:cs="Times New Roman"/>
          <w:sz w:val="24"/>
          <w:szCs w:val="24"/>
        </w:rPr>
        <w:t>- стоимость мощности, продаваемой по итогам конкурентного отбора мощности, определяется исходя из цены, определенной в соответствии с договором о присоединении к торговой системе оптового рынка организацией коммерческой инфраструктуры по результатам конкурентного отбора мощности по соответствующей группе точек поставки с учетом индексации этой цены, на условиях и в порядке, которые установлены Правилами индексации цены на мощность, умноженной на сезонный коэффициент.</w:t>
      </w:r>
    </w:p>
    <w:p>
      <w:pPr>
        <w:pStyle w:val="Normal"/>
        <w:spacing w:lineRule="auto" w:line="276" w:before="0" w:after="200"/>
        <w:ind w:firstLine="567"/>
        <w:jc w:val="both"/>
        <w:rPr>
          <w:sz w:val="24"/>
          <w:szCs w:val="24"/>
        </w:rPr>
      </w:pPr>
      <w:r>
        <w:rPr>
          <w:rFonts w:eastAsia="Times New Roman" w:cs="Times New Roman"/>
          <w:sz w:val="24"/>
          <w:szCs w:val="24"/>
        </w:rPr>
        <w:t xml:space="preserve">  </w:t>
      </w:r>
      <w:r>
        <w:rPr>
          <w:rFonts w:eastAsia="Arial" w:cs="Times New Roman"/>
          <w:sz w:val="24"/>
          <w:szCs w:val="24"/>
        </w:rPr>
        <w:t xml:space="preserve">- </w:t>
      </w:r>
      <w:r>
        <w:rPr/>
        <w:drawing>
          <wp:inline distT="0" distB="0" distL="0" distR="0">
            <wp:extent cx="474980" cy="302260"/>
            <wp:effectExtent l="0" t="0" r="0" b="0"/>
            <wp:docPr id="21" name="Изображение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22" descr=""/>
                    <pic:cNvPicPr>
                      <a:picLocks noChangeAspect="1" noChangeArrowheads="1"/>
                    </pic:cNvPicPr>
                  </pic:nvPicPr>
                  <pic:blipFill>
                    <a:blip r:embed="rId36"/>
                    <a:stretch>
                      <a:fillRect/>
                    </a:stretch>
                  </pic:blipFill>
                  <pic:spPr bwMode="auto">
                    <a:xfrm>
                      <a:off x="0" y="0"/>
                      <a:ext cx="474980" cy="302260"/>
                    </a:xfrm>
                    <a:prstGeom prst="rect">
                      <a:avLst/>
                    </a:prstGeom>
                  </pic:spPr>
                </pic:pic>
              </a:graphicData>
            </a:graphic>
          </wp:inline>
        </w:drawing>
      </w:r>
      <w:r>
        <w:rPr>
          <w:rFonts w:eastAsia="Arial" w:cs="Times New Roman"/>
          <w:sz w:val="24"/>
          <w:szCs w:val="24"/>
        </w:rPr>
        <w:t xml:space="preserve"> - цена на мощность в месяце (m), определяемая согласно Правилам ОРЭМ для генерирующего объекта (g) тепловой электростанции на входящей в состав Дальневосточного федерального округа отдельной территории, ранее относившейся к неценовым зонам, включенного в перечень генерирующих объектов на отдельных территориях, ранее относившихся к неценовым зонам, частичная компенсация стоимости мощности которого осуществляется за счет надбавки к цене на мощность, поставляемой субъектом оптового рынка - производителем электрической энергии (мощности) (pr), в отношении которого Правительством Российской Федерации принято соответствующее решение (рублей/МВт в месяц);</w:t>
      </w:r>
    </w:p>
    <w:p>
      <w:pPr>
        <w:pStyle w:val="Normal"/>
        <w:spacing w:lineRule="auto" w:line="276" w:before="0" w:after="200"/>
        <w:ind w:firstLine="567"/>
        <w:jc w:val="both"/>
        <w:rPr>
          <w:rFonts w:ascii="Times New Roman" w:hAnsi="Times New Roman" w:eastAsia="Arial" w:cs="Times New Roman"/>
          <w:sz w:val="24"/>
          <w:szCs w:val="24"/>
        </w:rPr>
      </w:pPr>
      <w:r>
        <w:rPr>
          <w:rFonts w:eastAsia="Arial" w:cs="Times New Roman"/>
          <w:sz w:val="24"/>
          <w:szCs w:val="24"/>
        </w:rPr>
        <w:t>- сезонный коэффициент определяется в соответствии с договором о присоединении к торговой системе оптового рынка как отношение среднего за 3 предшествующих года значения объема максимального потребления электрической энергии в определенные системным оператором плановые часы пиковой нагрузки в ценовой зоне в соответствующем месяце к среднему за 3 предшествующих года значению объема среднегодового максимального потребления электрической энергии в определенные системным оператором плановые часы пиковой нагрузки в этой же ценовой зоне. При этом для второй ценовой зоны до 31 декабря 2028 г. включительно сезонный коэффициент определяется без учета потребления электрической энергии на входящей в состав Дальневосточного федерального округа отдельной территории, ранее относившейся к неценовым зонам.</w:t>
      </w:r>
    </w:p>
    <w:p>
      <w:pPr>
        <w:pStyle w:val="Normal"/>
        <w:widowControl w:val="false"/>
        <w:spacing w:lineRule="auto" w:line="276" w:before="240" w:after="200"/>
        <w:jc w:val="both"/>
        <w:rPr>
          <w:sz w:val="24"/>
          <w:szCs w:val="24"/>
        </w:rPr>
      </w:pPr>
      <w:r>
        <w:rPr>
          <w:rFonts w:eastAsia="Arial" w:cs="Times New Roman"/>
          <w:sz w:val="24"/>
          <w:szCs w:val="24"/>
        </w:rPr>
        <w:t xml:space="preserve">- </w:t>
      </w:r>
      <w:r>
        <w:rPr/>
        <w:drawing>
          <wp:inline distT="0" distB="0" distL="0" distR="0">
            <wp:extent cx="457200" cy="302895"/>
            <wp:effectExtent l="0" t="0" r="0" b="0"/>
            <wp:docPr id="22" name="Изображение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23" descr=""/>
                    <pic:cNvPicPr>
                      <a:picLocks noChangeAspect="1" noChangeArrowheads="1"/>
                    </pic:cNvPicPr>
                  </pic:nvPicPr>
                  <pic:blipFill>
                    <a:blip r:embed="rId37"/>
                    <a:stretch>
                      <a:fillRect/>
                    </a:stretch>
                  </pic:blipFill>
                  <pic:spPr bwMode="auto">
                    <a:xfrm>
                      <a:off x="0" y="0"/>
                      <a:ext cx="457200" cy="302895"/>
                    </a:xfrm>
                    <a:prstGeom prst="rect">
                      <a:avLst/>
                    </a:prstGeom>
                  </pic:spPr>
                </pic:pic>
              </a:graphicData>
            </a:graphic>
          </wp:inline>
        </w:drawing>
      </w:r>
      <w:r>
        <w:rPr>
          <w:rFonts w:eastAsia="Arial" w:cs="Times New Roman"/>
          <w:sz w:val="24"/>
          <w:szCs w:val="24"/>
        </w:rPr>
        <w:t xml:space="preserve"> - сезонный коэффициент, рассчитанный для ценовой зоны оптового рынка (z) месяца (m); </w:t>
      </w:r>
    </w:p>
    <w:p>
      <w:pPr>
        <w:pStyle w:val="Normal"/>
        <w:spacing w:lineRule="auto" w:line="240"/>
        <w:ind w:firstLine="709"/>
        <w:rPr>
          <w:sz w:val="24"/>
          <w:szCs w:val="24"/>
        </w:rPr>
      </w:pPr>
      <w:r>
        <w:rPr>
          <w:rFonts w:eastAsia="Arial" w:cs="Times New Roman"/>
          <w:sz w:val="24"/>
          <w:szCs w:val="24"/>
        </w:rPr>
        <w:t xml:space="preserve">Стоимость недопоставки мощности (снижение оплаты мощности) рассчитывается как произведение объема недопоставки мощности </w:t>
      </w:r>
      <w:r>
        <w:rPr/>
      </w:r>
      <m:oMath xmlns:m="http://schemas.openxmlformats.org/officeDocument/2006/math">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гот,j</m:t>
                </m:r>
              </m:sup>
            </m:sSubSup>
          </m:sub>
        </m:sSub>
      </m:oMath>
      <w:r>
        <w:rPr>
          <w:rFonts w:eastAsia="Arial" w:cs="Times New Roman"/>
          <w:sz w:val="24"/>
          <w:szCs w:val="24"/>
        </w:rPr>
        <w:t xml:space="preserve"> на цену </w:t>
      </w:r>
      <w:r>
        <w:rPr/>
        <w:drawing>
          <wp:inline distT="0" distB="0" distL="0" distR="0">
            <wp:extent cx="474980" cy="302260"/>
            <wp:effectExtent l="0" t="0" r="0" b="0"/>
            <wp:docPr id="23" name="Изображение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24" descr=""/>
                    <pic:cNvPicPr>
                      <a:picLocks noChangeAspect="1" noChangeArrowheads="1"/>
                    </pic:cNvPicPr>
                  </pic:nvPicPr>
                  <pic:blipFill>
                    <a:blip r:embed="rId38"/>
                    <a:srcRect l="-42" t="-65" r="-42" b="-65"/>
                    <a:stretch>
                      <a:fillRect/>
                    </a:stretch>
                  </pic:blipFill>
                  <pic:spPr bwMode="auto">
                    <a:xfrm>
                      <a:off x="0" y="0"/>
                      <a:ext cx="474980" cy="302260"/>
                    </a:xfrm>
                    <a:prstGeom prst="rect">
                      <a:avLst/>
                    </a:prstGeom>
                  </pic:spPr>
                </pic:pic>
              </a:graphicData>
            </a:graphic>
          </wp:inline>
        </w:drawing>
      </w:r>
      <w:r>
        <w:rPr>
          <w:rFonts w:eastAsia="Arial" w:cs="Times New Roman"/>
          <w:sz w:val="24"/>
          <w:szCs w:val="24"/>
        </w:rPr>
        <w:t xml:space="preserve"> и на коэффициент сезонности</w:t>
      </w:r>
      <w:r>
        <w:rPr/>
        <w:drawing>
          <wp:inline distT="0" distB="0" distL="0" distR="0">
            <wp:extent cx="457200" cy="302895"/>
            <wp:effectExtent l="0" t="0" r="0" b="0"/>
            <wp:docPr id="24" name="Изображение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25" descr=""/>
                    <pic:cNvPicPr>
                      <a:picLocks noChangeAspect="1" noChangeArrowheads="1"/>
                    </pic:cNvPicPr>
                  </pic:nvPicPr>
                  <pic:blipFill>
                    <a:blip r:embed="rId39"/>
                    <a:srcRect l="-43" t="-65" r="-43" b="-65"/>
                    <a:stretch>
                      <a:fillRect/>
                    </a:stretch>
                  </pic:blipFill>
                  <pic:spPr bwMode="auto">
                    <a:xfrm>
                      <a:off x="0" y="0"/>
                      <a:ext cx="457200" cy="302895"/>
                    </a:xfrm>
                    <a:prstGeom prst="rect">
                      <a:avLst/>
                    </a:prstGeom>
                  </pic:spPr>
                </pic:pic>
              </a:graphicData>
            </a:graphic>
          </wp:inline>
        </w:drawing>
      </w:r>
      <w:r>
        <w:rPr>
          <w:rFonts w:eastAsia="Arial" w:cs="Times New Roman"/>
          <w:sz w:val="24"/>
          <w:szCs w:val="24"/>
        </w:rPr>
        <w:t xml:space="preserve">. </w:t>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jc w:val="center"/>
        <w:rPr>
          <w:b/>
          <w:sz w:val="24"/>
          <w:szCs w:val="24"/>
        </w:rPr>
      </w:pPr>
      <w:r>
        <w:rPr>
          <w:b/>
          <w:sz w:val="24"/>
          <w:szCs w:val="24"/>
        </w:rPr>
        <w:t>ПОДПИСИ СТОРОН:</w:t>
      </w:r>
    </w:p>
    <w:p>
      <w:pPr>
        <w:pStyle w:val="Normal"/>
        <w:spacing w:lineRule="auto" w:line="240"/>
        <w:ind w:firstLine="709"/>
        <w:jc w:val="center"/>
        <w:rPr>
          <w:b/>
          <w:sz w:val="24"/>
          <w:szCs w:val="24"/>
        </w:rPr>
      </w:pPr>
      <w:r>
        <w:rPr>
          <w:b/>
          <w:sz w:val="24"/>
          <w:szCs w:val="24"/>
        </w:rPr>
      </w:r>
    </w:p>
    <w:tbl>
      <w:tblPr>
        <w:tblW w:w="963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931"/>
        <w:gridCol w:w="4699"/>
      </w:tblGrid>
      <w:tr>
        <w:trPr>
          <w:trHeight w:val="269" w:hRule="atLeast"/>
        </w:trPr>
        <w:tc>
          <w:tcPr>
            <w:tcW w:w="4931" w:type="dxa"/>
            <w:tcBorders/>
          </w:tcPr>
          <w:p>
            <w:pPr>
              <w:pStyle w:val="Normal"/>
              <w:widowControl w:val="false"/>
              <w:spacing w:lineRule="auto" w:line="240"/>
              <w:ind w:hanging="0"/>
              <w:jc w:val="left"/>
              <w:rPr>
                <w:b/>
                <w:sz w:val="24"/>
              </w:rPr>
            </w:pPr>
            <w:r>
              <w:rPr>
                <w:b/>
                <w:sz w:val="24"/>
              </w:rPr>
              <w:t>ЗАКАЗЧИК:</w:t>
            </w:r>
          </w:p>
        </w:tc>
        <w:tc>
          <w:tcPr>
            <w:tcW w:w="4699" w:type="dxa"/>
            <w:tcBorders/>
          </w:tcPr>
          <w:p>
            <w:pPr>
              <w:pStyle w:val="Normal"/>
              <w:widowControl w:val="false"/>
              <w:spacing w:lineRule="auto" w:line="240"/>
              <w:ind w:hanging="0"/>
              <w:jc w:val="left"/>
              <w:rPr>
                <w:b/>
                <w:sz w:val="24"/>
              </w:rPr>
            </w:pPr>
            <w:r>
              <w:rPr>
                <w:b/>
                <w:sz w:val="24"/>
              </w:rPr>
              <w:t>ПОДРЯДЧИК:</w:t>
            </w:r>
          </w:p>
        </w:tc>
      </w:tr>
      <w:tr>
        <w:trPr>
          <w:trHeight w:val="269" w:hRule="atLeast"/>
        </w:trPr>
        <w:tc>
          <w:tcPr>
            <w:tcW w:w="4931" w:type="dxa"/>
            <w:tcBorders/>
          </w:tcPr>
          <w:p>
            <w:pPr>
              <w:pStyle w:val="Normal"/>
              <w:widowControl w:val="false"/>
              <w:spacing w:lineRule="auto" w:line="240"/>
              <w:ind w:hanging="0"/>
              <w:jc w:val="left"/>
              <w:rPr>
                <w:sz w:val="24"/>
              </w:rPr>
            </w:pPr>
            <w:r>
              <w:rPr/>
            </w:r>
          </w:p>
        </w:tc>
        <w:tc>
          <w:tcPr>
            <w:tcW w:w="4699" w:type="dxa"/>
            <w:tcBorders/>
          </w:tcPr>
          <w:p>
            <w:pPr>
              <w:pStyle w:val="Normal"/>
              <w:widowControl w:val="false"/>
              <w:suppressAutoHyphens w:val="true"/>
              <w:bidi w:val="0"/>
              <w:spacing w:lineRule="auto" w:line="240" w:before="0" w:after="0"/>
              <w:ind w:hanging="0"/>
              <w:jc w:val="left"/>
              <w:rPr>
                <w:sz w:val="24"/>
              </w:rPr>
            </w:pPr>
            <w:r>
              <w:rPr>
                <w:sz w:val="24"/>
              </w:rPr>
            </w:r>
          </w:p>
        </w:tc>
      </w:tr>
      <w:tr>
        <w:trPr>
          <w:trHeight w:val="269" w:hRule="atLeast"/>
        </w:trPr>
        <w:tc>
          <w:tcPr>
            <w:tcW w:w="4931" w:type="dxa"/>
            <w:tcBorders/>
          </w:tcPr>
          <w:p>
            <w:pPr>
              <w:pStyle w:val="Normal"/>
              <w:widowControl w:val="false"/>
              <w:spacing w:lineRule="auto" w:line="240"/>
              <w:ind w:hanging="0"/>
              <w:jc w:val="left"/>
              <w:rPr>
                <w:sz w:val="24"/>
              </w:rPr>
            </w:pPr>
            <w:r>
              <w:rPr>
                <w:sz w:val="24"/>
              </w:rPr>
              <w:t>‍</w:t>
            </w:r>
            <w:r>
              <w:rPr>
                <w:sz w:val="24"/>
              </w:rPr>
              <w:t xml:space="preserve">_______________ / </w:t>
            </w:r>
            <w:r>
              <w:rPr>
                <w:sz w:val="24"/>
              </w:rPr>
              <w:t>_____________</w:t>
            </w:r>
          </w:p>
        </w:tc>
        <w:tc>
          <w:tcPr>
            <w:tcW w:w="4699" w:type="dxa"/>
            <w:tcBorders/>
          </w:tcPr>
          <w:p>
            <w:pPr>
              <w:pStyle w:val="Normal"/>
              <w:widowControl w:val="false"/>
              <w:spacing w:lineRule="auto" w:line="240"/>
              <w:ind w:hanging="0"/>
              <w:jc w:val="left"/>
              <w:rPr>
                <w:sz w:val="24"/>
              </w:rPr>
            </w:pPr>
            <w:r>
              <w:rPr/>
              <w:t>‍</w:t>
            </w:r>
            <w:r>
              <w:rPr/>
              <w:t xml:space="preserve">_______________ / </w:t>
            </w:r>
            <w:r>
              <w:rPr/>
              <w:t>_____________</w:t>
            </w:r>
          </w:p>
        </w:tc>
      </w:tr>
    </w:tbl>
    <w:p>
      <w:pPr>
        <w:pStyle w:val="Normal"/>
        <w:spacing w:lineRule="auto" w:line="240"/>
        <w:jc w:val="center"/>
        <w:rPr>
          <w:b/>
          <w:sz w:val="24"/>
        </w:rPr>
      </w:pPr>
      <w:r>
        <w:rPr>
          <w:b/>
          <w:sz w:val="24"/>
        </w:rPr>
      </w:r>
    </w:p>
    <w:p>
      <w:pPr>
        <w:pStyle w:val="Normal"/>
        <w:spacing w:lineRule="auto" w:line="240"/>
        <w:jc w:val="center"/>
        <w:rPr>
          <w:b/>
          <w:sz w:val="24"/>
        </w:rPr>
      </w:pPr>
      <w:r>
        <w:rPr>
          <w:b/>
          <w:sz w:val="24"/>
        </w:rPr>
      </w:r>
    </w:p>
    <w:p>
      <w:pPr>
        <w:pStyle w:val="Normal"/>
        <w:widowControl/>
        <w:suppressAutoHyphens w:val="true"/>
        <w:bidi w:val="0"/>
        <w:spacing w:lineRule="auto" w:line="240" w:before="0" w:after="0"/>
        <w:ind w:firstLine="567"/>
        <w:jc w:val="both"/>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spacing w:lineRule="auto" w:line="240"/>
        <w:rPr/>
      </w:pPr>
      <w:r>
        <w:rPr/>
      </w:r>
    </w:p>
    <w:p>
      <w:pPr>
        <w:pStyle w:val="Normal"/>
        <w:widowControl/>
        <w:suppressAutoHyphens w:val="true"/>
        <w:bidi w:val="0"/>
        <w:spacing w:lineRule="auto" w:line="240" w:before="0" w:after="0"/>
        <w:ind w:firstLine="567"/>
        <w:jc w:val="both"/>
        <w:rPr>
          <w:sz w:val="22"/>
          <w:szCs w:val="22"/>
        </w:rPr>
      </w:pPr>
      <w:r>
        <w:rPr/>
      </w:r>
    </w:p>
    <w:sectPr>
      <w:footnotePr>
        <w:numFmt w:val="decimal"/>
      </w:footnotePr>
      <w:type w:val="continuous"/>
      <w:pgSz w:w="11906" w:h="16838"/>
      <w:pgMar w:left="1418" w:right="851" w:gutter="0" w:header="0" w:top="709" w:footer="0" w:bottom="1134"/>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48037885"/>
    </w:sdtPr>
    <w:sdtContent>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37</w:t>
        </w:r>
        <w:r>
          <w:rPr>
            <w:sz w:val="22"/>
            <w:szCs w:val="22"/>
          </w:rPr>
          <w:fldChar w:fldCharType="end"/>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38</w:t>
    </w:r>
    <w:r>
      <w:rPr>
        <w:sz w:val="22"/>
        <w:szCs w:val="22"/>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45</w:t>
    </w:r>
    <w:r>
      <w:rPr>
        <w:sz w:val="22"/>
        <w:szCs w:val="22"/>
      </w:rPr>
      <w:fldChar w:fldCharType="end"/>
    </w:r>
  </w:p>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1418794"/>
    </w:sdtPr>
    <w:sdtContent>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53</w:t>
        </w:r>
        <w:r>
          <w:rPr>
            <w:sz w:val="22"/>
            <w:szCs w:val="22"/>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9"/>
        </w:rPr>
        <w:footnoteRef/>
      </w:r>
      <w:r>
        <w:rPr/>
        <w:t xml:space="preserve"> </w:t>
      </w:r>
      <w:r>
        <w:rPr/>
        <w:t>Для договоров, заключенных в рамках операционной (текущей) деятельности Заказчика.</w:t>
      </w:r>
    </w:p>
  </w:footnote>
  <w:footnote w:id="3">
    <w:p>
      <w:pPr>
        <w:pStyle w:val="FootnoteText"/>
        <w:jc w:val="both"/>
        <w:rPr/>
      </w:pPr>
      <w:r>
        <w:rPr>
          <w:rStyle w:val="Style9"/>
        </w:rPr>
        <w:footnoteRef/>
      </w:r>
      <w:r>
        <w:rPr/>
        <w:t xml:space="preserve"> </w:t>
      </w:r>
      <w:r>
        <w:rPr/>
        <w:t>Для договоров, заключенных в рамках реализации инвестиционной программы Заказчика.</w:t>
      </w:r>
    </w:p>
  </w:footnote>
  <w:footnote w:id="4">
    <w:p>
      <w:pPr>
        <w:pStyle w:val="FootnoteText"/>
        <w:jc w:val="both"/>
        <w:rPr/>
      </w:pPr>
      <w:r>
        <w:rPr>
          <w:rStyle w:val="Style9"/>
        </w:rPr>
        <w:footnoteRef/>
      </w:r>
      <w:r>
        <w:rPr/>
        <w:t xml:space="preserve"> </w:t>
      </w:r>
      <w:r>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pPr>
        <w:pStyle w:val="FootnoteText"/>
        <w:jc w:val="both"/>
        <w:rPr/>
      </w:pPr>
      <w:r>
        <w:rPr>
          <w:rStyle w:val="Style9"/>
        </w:rPr>
        <w:footnoteRef/>
      </w:r>
      <w:r>
        <w:rPr/>
        <w:t xml:space="preserve"> </w:t>
      </w:r>
      <w:r>
        <w:rPr/>
        <w:t>Для договоров, заключенных в рамках операционной (текущей) деятельности Заказчика.</w:t>
      </w:r>
    </w:p>
  </w:footnote>
  <w:footnote w:id="6">
    <w:p>
      <w:pPr>
        <w:pStyle w:val="FootnoteText"/>
        <w:jc w:val="both"/>
        <w:rPr/>
      </w:pPr>
      <w:r>
        <w:rPr>
          <w:rStyle w:val="Style9"/>
        </w:rPr>
        <w:footnoteRef/>
      </w:r>
      <w:r>
        <w:rPr/>
        <w:t xml:space="preserve"> </w:t>
      </w:r>
      <w:r>
        <w:rPr/>
        <w:t>Для договоров, заключенных в рамках реализации инвестиционной программы Заказчика.</w:t>
      </w:r>
    </w:p>
  </w:footnote>
  <w:footnote w:id="7">
    <w:p>
      <w:pPr>
        <w:pStyle w:val="FootnoteText"/>
        <w:jc w:val="both"/>
        <w:rPr/>
      </w:pPr>
      <w:r>
        <w:rPr>
          <w:rStyle w:val="Style9"/>
        </w:rPr>
        <w:footnoteRef/>
      </w:r>
      <w:r>
        <w:rPr/>
        <w:t xml:space="preserve"> </w:t>
      </w:r>
      <w:r>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pPr>
        <w:pStyle w:val="FootnoteText"/>
        <w:jc w:val="both"/>
        <w:rPr/>
      </w:pPr>
      <w:r>
        <w:rPr>
          <w:rStyle w:val="Style9"/>
        </w:rPr>
        <w:footnoteRef/>
      </w:r>
      <w:r>
        <w:rPr/>
        <w:t xml:space="preserve"> </w:t>
      </w:r>
      <w:r>
        <w:rPr/>
        <w:t>Для договоров, заключенных в рамках операционной (текущей) деятельности Заказчика.</w:t>
      </w:r>
    </w:p>
  </w:footnote>
  <w:footnote w:id="9">
    <w:p>
      <w:pPr>
        <w:pStyle w:val="FootnoteText"/>
        <w:jc w:val="both"/>
        <w:rPr/>
      </w:pPr>
      <w:r>
        <w:rPr>
          <w:rStyle w:val="Style9"/>
        </w:rPr>
        <w:footnoteRef/>
      </w:r>
      <w:r>
        <w:rPr/>
        <w:t xml:space="preserve"> </w:t>
      </w:r>
      <w:r>
        <w:rPr/>
        <w:t>Для договоров, заключенных в рамках реализации инвестиционной программы Заказчика.</w:t>
      </w:r>
    </w:p>
  </w:footnote>
  <w:footnote w:id="10">
    <w:p>
      <w:pPr>
        <w:pStyle w:val="FootnoteText"/>
        <w:jc w:val="both"/>
        <w:rPr/>
      </w:pPr>
      <w:r>
        <w:rPr>
          <w:rStyle w:val="Style9"/>
        </w:rPr>
        <w:footnoteRef/>
      </w:r>
      <w:r>
        <w:rPr/>
        <w:t xml:space="preserve"> </w:t>
      </w:r>
      <w:r>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1">
    <w:p>
      <w:pPr>
        <w:pStyle w:val="FootnoteText"/>
        <w:jc w:val="both"/>
        <w:rPr/>
      </w:pPr>
      <w:r>
        <w:rPr>
          <w:rStyle w:val="Style9"/>
        </w:rPr>
        <w:footnoteRef/>
      </w:r>
      <w:r>
        <w:rPr>
          <w:highlight w:val="lightGray"/>
        </w:rPr>
        <w:t>В случае, если контрагент является субъектом МСП, при этом Заказчик подпадает под действие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pPr>
        <w:pStyle w:val="Normal"/>
        <w:spacing w:lineRule="auto" w:line="240"/>
        <w:ind w:hanging="0"/>
        <w:rPr/>
      </w:pPr>
      <w:r>
        <w:rPr>
          <w:rStyle w:val="Style9"/>
        </w:rPr>
        <w:footnoteRef/>
      </w:r>
      <w:r>
        <w:rPr>
          <w:sz w:val="20"/>
          <w:szCs w:val="20"/>
        </w:rPr>
        <w:t xml:space="preserve"> </w:t>
      </w:r>
      <w:r>
        <w:rPr>
          <w:sz w:val="20"/>
          <w:szCs w:val="20"/>
        </w:rPr>
        <w:t>Для Банковской гарантии возврата авансового платежа.</w:t>
      </w:r>
    </w:p>
  </w:footnote>
  <w:footnote w:id="13">
    <w:p>
      <w:pPr>
        <w:pStyle w:val="FootnoteText"/>
        <w:rPr/>
      </w:pPr>
      <w:r>
        <w:rPr>
          <w:rStyle w:val="Style9"/>
        </w:rPr>
        <w:footnoteRef/>
      </w:r>
      <w:r>
        <w:rPr/>
        <w:t xml:space="preserve"> </w:t>
      </w:r>
      <w:r>
        <w:rPr/>
        <w:t>Для Банковской гарантии надлежащего исполнения Договора.</w:t>
      </w:r>
    </w:p>
  </w:footnote>
  <w:footnote w:id="14">
    <w:p>
      <w:pPr>
        <w:pStyle w:val="FootnoteText"/>
        <w:jc w:val="both"/>
        <w:rPr/>
      </w:pPr>
      <w:r>
        <w:rPr>
          <w:rStyle w:val="Style9"/>
        </w:rPr>
        <w:footnoteRef/>
      </w:r>
      <w:r>
        <w:rPr/>
        <w:t xml:space="preserve"> </w:t>
      </w:r>
      <w:r>
        <w:rPr/>
        <w:t>В случае непредоставления Подрядчиком новой Банковской гарантии возврата авансового платежа.</w:t>
      </w:r>
    </w:p>
  </w:footnote>
  <w:footnote w:id="15">
    <w:p>
      <w:pPr>
        <w:pStyle w:val="FootnoteText"/>
        <w:jc w:val="both"/>
        <w:rPr/>
      </w:pPr>
      <w:r>
        <w:rPr>
          <w:rStyle w:val="Style9"/>
        </w:rPr>
        <w:footnoteRef/>
      </w:r>
      <w:r>
        <w:rPr/>
        <w:t xml:space="preserve"> </w:t>
      </w:r>
      <w:r>
        <w:rPr/>
        <w:t>В случае непредоставления Подрядчиком Банковской гарантии надлежащего исполнения Договора.</w:t>
      </w:r>
    </w:p>
  </w:footnote>
  <w:footnote w:id="16">
    <w:p>
      <w:pPr>
        <w:pStyle w:val="FootnoteText"/>
        <w:jc w:val="both"/>
        <w:rPr/>
      </w:pPr>
      <w:r>
        <w:rPr>
          <w:rStyle w:val="Style9"/>
        </w:rPr>
        <w:footnoteRef/>
      </w:r>
      <w:r>
        <w:rPr/>
        <w:t xml:space="preserve"> </w:t>
      </w:r>
      <w:r>
        <w:rPr>
          <w:szCs w:val="24"/>
          <w:highlight w:val="lightGray"/>
        </w:rPr>
        <w:t>Указанное условие применяется в отношении имущества (оборудования), обеспечивающего производство и / или передачу (транспортировку) и/или распределение электрической энергии и/или мощности.</w:t>
      </w:r>
    </w:p>
  </w:footnote>
  <w:footnote w:id="17">
    <w:p>
      <w:pPr>
        <w:pStyle w:val="FootnoteText"/>
        <w:jc w:val="both"/>
        <w:rPr/>
      </w:pPr>
      <w:r>
        <w:rPr>
          <w:rStyle w:val="Style9"/>
        </w:rPr>
        <w:footnoteRef/>
      </w:r>
      <w:r>
        <w:rPr/>
        <w:t xml:space="preserve"> </w:t>
      </w:r>
      <w:r>
        <w:rPr/>
        <w:t xml:space="preserve">В случае если членство Подрядчика в СРО требуется в соответствии с законодательством Российской Федерации </w:t>
      </w:r>
    </w:p>
  </w:footnote>
  <w:footnote w:id="18">
    <w:p>
      <w:pPr>
        <w:pStyle w:val="FootnoteText"/>
        <w:jc w:val="both"/>
        <w:rPr/>
      </w:pPr>
      <w:r>
        <w:rPr>
          <w:rStyle w:val="Style9"/>
        </w:rPr>
        <w:footnoteRef/>
      </w:r>
      <w:r>
        <w:rPr/>
        <w:t xml:space="preserve"> </w:t>
      </w:r>
      <w:r>
        <w:rPr/>
        <w:t>В случае если членство Подрядчика в СРО требуется в соответствии с законодательством Российской Федерации</w:t>
      </w:r>
    </w:p>
  </w:footnote>
  <w:footnote w:id="19">
    <w:p>
      <w:pPr>
        <w:pStyle w:val="FootnoteText"/>
        <w:jc w:val="both"/>
        <w:rPr/>
      </w:pPr>
      <w:r>
        <w:rPr>
          <w:rStyle w:val="Style9"/>
        </w:rPr>
        <w:footnoteRef/>
      </w:r>
      <w:r>
        <w:rPr/>
        <w:t xml:space="preserve"> </w:t>
      </w:r>
      <w:r>
        <w:rPr/>
        <w:t>С учетом комментариев к пункту 3.3.9 Договора.</w:t>
      </w:r>
    </w:p>
  </w:footnote>
  <w:footnote w:id="20">
    <w:p>
      <w:pPr>
        <w:pStyle w:val="FootnoteText"/>
        <w:rPr/>
      </w:pPr>
      <w:r>
        <w:rPr>
          <w:rStyle w:val="Style9"/>
        </w:rPr>
        <w:footnoteRef/>
      </w:r>
      <w:r>
        <w:rPr/>
        <w:t>В соответствии с Общероссийским классификатором стран мира (утв. Постановлением Госстандарта России от 14.12.2001 N 529-ст.).</w:t>
      </w:r>
    </w:p>
  </w:footnote>
  <w:footnote w:id="21">
    <w:p>
      <w:pPr>
        <w:pStyle w:val="FootnoteText"/>
        <w:rPr/>
      </w:pPr>
      <w:r>
        <w:rPr>
          <w:rStyle w:val="Style9"/>
        </w:rPr>
        <w:footnoteRef/>
      </w:r>
      <w:r>
        <w:rPr/>
        <w:t xml:space="preserve"> </w:t>
      </w:r>
      <w:r>
        <w:rPr>
          <w:rFonts w:eastAsia="Calibri" w:eastAsiaTheme="minorHAnsi"/>
          <w:lang w:eastAsia="en-US"/>
        </w:rPr>
        <w:t xml:space="preserve">Порядковый номер (номера) реестровой записи (реестровых записей), под которой (которыми) Оборудование включено в реестры, предусмотренные пунктом </w:t>
      </w:r>
      <w:r>
        <w:rPr>
          <w:rFonts w:eastAsia="Calibri" w:eastAsiaTheme="minorHAnsi"/>
          <w:bCs/>
          <w:lang w:eastAsia="en-US"/>
        </w:rPr>
        <w:t>3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 w:id="22">
    <w:p>
      <w:pPr>
        <w:pStyle w:val="FootnoteText"/>
        <w:rPr/>
      </w:pPr>
      <w:r>
        <w:rPr>
          <w:rStyle w:val="Style9"/>
        </w:rPr>
        <w:t></w:t>
      </w:r>
      <w:r>
        <w:rPr>
          <w:rStyle w:val="Style9"/>
        </w:rPr>
        <w:t></w:t>
      </w:r>
      <w:r>
        <w:rPr>
          <w:rStyle w:val="Style9"/>
        </w:rPr>
        <w:t>*</w:t>
      </w:r>
      <w:r>
        <w:rPr/>
        <w:t xml:space="preserve"> 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footnote>
  <w:footnote w:id="23">
    <w:p>
      <w:pPr>
        <w:pStyle w:val="FootnoteText"/>
        <w:jc w:val="both"/>
        <w:rPr/>
      </w:pPr>
      <w:r>
        <w:rPr>
          <w:rStyle w:val="Style9"/>
        </w:rPr>
        <w:footnoteRef/>
      </w:r>
      <w:r>
        <w:rPr/>
        <w:t xml:space="preserve"> </w:t>
      </w:r>
      <w:r>
        <w:rPr/>
        <w:t>Актуальный Перечень Банков-Гарантов Группы РусГидро размещен на официальном сайте Общества http://zakupki.rushydro.ru/PublicContent/Section/6</w:t>
      </w:r>
    </w:p>
  </w:footnote>
  <w:footnote w:id="24">
    <w:p>
      <w:pPr>
        <w:pStyle w:val="FootnoteText"/>
        <w:jc w:val="both"/>
        <w:rPr/>
      </w:pPr>
      <w:r>
        <w:rPr>
          <w:rStyle w:val="Style9"/>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25">
    <w:p>
      <w:pPr>
        <w:pStyle w:val="FootnoteText"/>
        <w:jc w:val="both"/>
        <w:rPr/>
      </w:pPr>
      <w:r>
        <w:rPr>
          <w:rStyle w:val="Style9"/>
        </w:rPr>
        <w:footnoteRef/>
      </w:r>
      <w:r>
        <w:rPr/>
        <w:t xml:space="preserve"> </w:t>
      </w:r>
      <w:r>
        <w:rPr/>
        <w:t>Данное требование не применяется в отношении небанковских кредитных организаций.</w:t>
      </w:r>
    </w:p>
  </w:footnote>
  <w:footnote w:id="26">
    <w:p>
      <w:pPr>
        <w:pStyle w:val="FootnoteText"/>
        <w:jc w:val="both"/>
        <w:rPr/>
      </w:pPr>
      <w:r>
        <w:rPr>
          <w:rStyle w:val="Style9"/>
        </w:rPr>
        <w:footnoteRef/>
      </w:r>
      <w:r>
        <w:rPr/>
        <w:t xml:space="preserve"> </w:t>
      </w:r>
      <w:r>
        <w:rPr/>
        <w:t>При издании ПО организационно-распорядительного документа о ТФУ данный критерий может быть исключен.</w:t>
      </w:r>
    </w:p>
  </w:footnote>
  <w:footnote w:id="27">
    <w:p>
      <w:pPr>
        <w:pStyle w:val="FootnoteText"/>
        <w:jc w:val="both"/>
        <w:rPr/>
      </w:pPr>
      <w:r>
        <w:rPr>
          <w:rStyle w:val="Style9"/>
        </w:rPr>
        <w:footnoteRef/>
      </w:r>
      <w:r>
        <w:rPr/>
        <w:t xml:space="preserve"> </w:t>
      </w:r>
      <w:r>
        <w:rPr>
          <w:rFonts w:cs="Times New Roman"/>
        </w:rPr>
        <w:t xml:space="preserve">Значение показателя округляется в большую или меньшую сторону до суммы, кратной 100 млн. руб. </w:t>
        <w:br/>
        <w:t xml:space="preserve">по правилам математического округления. В случае если первая из отделяемых цифр меньше 5,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w:t>
        <w:br/>
        <w:t xml:space="preserve">к установлению - 5 400 млн. руб.; расчетное значение лимита - 5 450 млн. руб., лимит к установлению - </w:t>
        <w:br/>
        <w:t>5 500 млн. руб.</w:t>
      </w:r>
    </w:p>
  </w:footnote>
  <w:footnote w:id="28">
    <w:p>
      <w:pPr>
        <w:pStyle w:val="FootnoteText"/>
        <w:jc w:val="both"/>
        <w:rPr/>
      </w:pPr>
      <w:r>
        <w:rPr>
          <w:rStyle w:val="Style9"/>
        </w:rPr>
        <w:footnoteRef/>
      </w:r>
      <w:r>
        <w:rPr/>
        <w:t xml:space="preserve"> </w:t>
      </w:r>
      <w:r>
        <w:rPr>
          <w:rFonts w:cs="Times New Roman"/>
        </w:rPr>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w:t>
        <w:br/>
        <w:t xml:space="preserve">из присвоенных (по данным сайта кредитной организации и / или рейтинговых агентств и/или </w:t>
        <w:br/>
        <w:t>из информационных систем Reuters, Bloomberg, Сbonds).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992" w:hanging="432"/>
      </w:pPr>
      <w:rPr>
        <w:u w:val="none"/>
        <w:b w:val="false"/>
      </w:rPr>
    </w:lvl>
    <w:lvl w:ilvl="2">
      <w:start w:val="1"/>
      <w:numFmt w:val="decimal"/>
      <w:lvlText w:val="%1.%2.%3."/>
      <w:lvlJc w:val="left"/>
      <w:pPr>
        <w:tabs>
          <w:tab w:val="num" w:pos="0"/>
        </w:tabs>
        <w:ind w:left="1639"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lvl w:ilvl="0">
      <w:start w:val="1"/>
      <w:numFmt w:val="bullet"/>
      <w:lvlText w:val=""/>
      <w:lvlJc w:val="left"/>
      <w:pPr>
        <w:tabs>
          <w:tab w:val="num" w:pos="1287"/>
        </w:tabs>
        <w:ind w:left="1287"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2">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lvl w:ilvl="0">
      <w:start w:val="4"/>
      <w:numFmt w:val="decimal"/>
      <w:lvlText w:val="%1."/>
      <w:lvlJc w:val="left"/>
      <w:pPr>
        <w:tabs>
          <w:tab w:val="num" w:pos="0"/>
        </w:tabs>
        <w:ind w:left="885" w:hanging="885"/>
      </w:pPr>
      <w:rPr/>
    </w:lvl>
    <w:lvl w:ilvl="1">
      <w:start w:val="5"/>
      <w:numFmt w:val="decimal"/>
      <w:lvlText w:val="%1.%2."/>
      <w:lvlJc w:val="left"/>
      <w:pPr>
        <w:tabs>
          <w:tab w:val="num" w:pos="0"/>
        </w:tabs>
        <w:ind w:left="1074" w:hanging="885"/>
      </w:pPr>
      <w:rPr/>
    </w:lvl>
    <w:lvl w:ilvl="2">
      <w:start w:val="6"/>
      <w:numFmt w:val="decimal"/>
      <w:lvlText w:val="%1.%2.%3."/>
      <w:lvlJc w:val="left"/>
      <w:pPr>
        <w:tabs>
          <w:tab w:val="num" w:pos="0"/>
        </w:tabs>
        <w:ind w:left="1263" w:hanging="885"/>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26">
    <w:lvl w:ilvl="0">
      <w:start w:val="4"/>
      <w:numFmt w:val="decimal"/>
      <w:lvlText w:val="%1."/>
      <w:lvlJc w:val="left"/>
      <w:pPr>
        <w:tabs>
          <w:tab w:val="num" w:pos="0"/>
        </w:tabs>
        <w:ind w:left="675" w:hanging="675"/>
      </w:pPr>
      <w:rPr/>
    </w:lvl>
    <w:lvl w:ilvl="1">
      <w:start w:val="9"/>
      <w:numFmt w:val="decimal"/>
      <w:lvlText w:val="%1.%2."/>
      <w:lvlJc w:val="left"/>
      <w:pPr>
        <w:tabs>
          <w:tab w:val="num" w:pos="0"/>
        </w:tabs>
        <w:ind w:left="909" w:hanging="720"/>
      </w:pPr>
      <w:rPr/>
    </w:lvl>
    <w:lvl w:ilvl="2">
      <w:start w:val="1"/>
      <w:numFmt w:val="decimal"/>
      <w:lvlText w:val="%1.%2.%3."/>
      <w:lvlJc w:val="left"/>
      <w:pPr>
        <w:tabs>
          <w:tab w:val="num" w:pos="0"/>
        </w:tabs>
        <w:ind w:left="1098" w:hanging="720"/>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27">
    <w:lvl w:ilvl="0">
      <w:start w:val="5"/>
      <w:numFmt w:val="decimal"/>
      <w:lvlText w:val="%1."/>
      <w:lvlJc w:val="left"/>
      <w:pPr>
        <w:tabs>
          <w:tab w:val="num" w:pos="0"/>
        </w:tabs>
        <w:ind w:left="4278" w:hanging="450"/>
      </w:pPr>
      <w:rPr>
        <w:b/>
      </w:rPr>
    </w:lvl>
    <w:lvl w:ilvl="1">
      <w:start w:val="1"/>
      <w:numFmt w:val="decimal"/>
      <w:lvlText w:val="%1.%2."/>
      <w:lvlJc w:val="left"/>
      <w:pPr>
        <w:tabs>
          <w:tab w:val="num" w:pos="0"/>
        </w:tabs>
        <w:ind w:left="1287" w:hanging="720"/>
      </w:pPr>
      <w:rPr>
        <w:sz w:val="24"/>
        <w:szCs w:val="24"/>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5202" w:hanging="180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2">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3">
    <w:lvl w:ilvl="0">
      <w:start w:val="1"/>
      <w:numFmt w:val="decimal"/>
      <w:lvlText w:val="%1."/>
      <w:lvlJc w:val="left"/>
      <w:pPr>
        <w:tabs>
          <w:tab w:val="num" w:pos="0"/>
        </w:tabs>
        <w:ind w:left="720" w:hanging="360"/>
      </w:pPr>
      <w:rPr/>
    </w:lvl>
    <w:lvl w:ilvl="1">
      <w:start w:val="1"/>
      <w:numFmt w:val="decimal"/>
      <w:lvlText w:val="%2."/>
      <w:lvlJc w:val="left"/>
      <w:pPr>
        <w:tabs>
          <w:tab w:val="num" w:pos="0"/>
        </w:tabs>
        <w:ind w:left="1430" w:hanging="720"/>
      </w:pPr>
      <w:rPr/>
    </w:lvl>
    <w:lvl w:ilvl="2">
      <w:start w:val="1"/>
      <w:numFmt w:val="decimal"/>
      <w:lvlText w:val="%1.%2.%3."/>
      <w:lvlJc w:val="left"/>
      <w:pPr>
        <w:tabs>
          <w:tab w:val="num" w:pos="0"/>
        </w:tabs>
        <w:ind w:left="1146" w:hanging="720"/>
      </w:pPr>
      <w:rPr>
        <w:b w:val="false"/>
      </w:rPr>
    </w:lvl>
    <w:lvl w:ilvl="3">
      <w:start w:val="1"/>
      <w:numFmt w:val="decimal"/>
      <w:lvlText w:val="%1.%2.%3.%4."/>
      <w:lvlJc w:val="left"/>
      <w:pPr>
        <w:tabs>
          <w:tab w:val="num" w:pos="0"/>
        </w:tabs>
        <w:ind w:left="1506"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2160" w:hanging="180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520" w:hanging="2160"/>
      </w:pPr>
      <w:rPr/>
    </w:lvl>
  </w:abstractNum>
  <w:abstractNum w:abstractNumId="34">
    <w:lvl w:ilvl="0">
      <w:start w:val="9"/>
      <w:numFmt w:val="decimal"/>
      <w:lvlText w:val="%1."/>
      <w:lvlJc w:val="left"/>
      <w:pPr>
        <w:tabs>
          <w:tab w:val="num" w:pos="0"/>
        </w:tabs>
        <w:ind w:left="450" w:hanging="450"/>
      </w:pPr>
      <w:rPr/>
    </w:lvl>
    <w:lvl w:ilvl="1">
      <w:start w:val="1"/>
      <w:numFmt w:val="decimal"/>
      <w:lvlText w:val="%1.%2."/>
      <w:lvlJc w:val="left"/>
      <w:pPr>
        <w:tabs>
          <w:tab w:val="num" w:pos="0"/>
        </w:tabs>
        <w:ind w:left="2136" w:hanging="720"/>
      </w:pPr>
      <w:rPr/>
    </w:lvl>
    <w:lvl w:ilvl="2">
      <w:start w:val="1"/>
      <w:numFmt w:val="decimal"/>
      <w:lvlText w:val="%1.%2.%3."/>
      <w:lvlJc w:val="left"/>
      <w:pPr>
        <w:tabs>
          <w:tab w:val="num" w:pos="0"/>
        </w:tabs>
        <w:ind w:left="3552" w:hanging="720"/>
      </w:pPr>
      <w:rPr/>
    </w:lvl>
    <w:lvl w:ilvl="3">
      <w:start w:val="1"/>
      <w:numFmt w:val="decimal"/>
      <w:lvlText w:val="%1.%2.%3.%4."/>
      <w:lvlJc w:val="left"/>
      <w:pPr>
        <w:tabs>
          <w:tab w:val="num" w:pos="0"/>
        </w:tabs>
        <w:ind w:left="5328" w:hanging="1080"/>
      </w:pPr>
      <w:rPr/>
    </w:lvl>
    <w:lvl w:ilvl="4">
      <w:start w:val="1"/>
      <w:numFmt w:val="decimal"/>
      <w:lvlText w:val="%1.%2.%3.%4.%5."/>
      <w:lvlJc w:val="left"/>
      <w:pPr>
        <w:tabs>
          <w:tab w:val="num" w:pos="0"/>
        </w:tabs>
        <w:ind w:left="6744" w:hanging="1080"/>
      </w:pPr>
      <w:rPr/>
    </w:lvl>
    <w:lvl w:ilvl="5">
      <w:start w:val="1"/>
      <w:numFmt w:val="decimal"/>
      <w:lvlText w:val="%1.%2.%3.%4.%5.%6."/>
      <w:lvlJc w:val="left"/>
      <w:pPr>
        <w:tabs>
          <w:tab w:val="num" w:pos="0"/>
        </w:tabs>
        <w:ind w:left="8520" w:hanging="1440"/>
      </w:pPr>
      <w:rPr/>
    </w:lvl>
    <w:lvl w:ilvl="6">
      <w:start w:val="1"/>
      <w:numFmt w:val="decimal"/>
      <w:lvlText w:val="%1.%2.%3.%4.%5.%6.%7."/>
      <w:lvlJc w:val="left"/>
      <w:pPr>
        <w:tabs>
          <w:tab w:val="num" w:pos="0"/>
        </w:tabs>
        <w:ind w:left="10296" w:hanging="1800"/>
      </w:pPr>
      <w:rPr/>
    </w:lvl>
    <w:lvl w:ilvl="7">
      <w:start w:val="1"/>
      <w:numFmt w:val="decimal"/>
      <w:lvlText w:val="%1.%2.%3.%4.%5.%6.%7.%8."/>
      <w:lvlJc w:val="left"/>
      <w:pPr>
        <w:tabs>
          <w:tab w:val="num" w:pos="0"/>
        </w:tabs>
        <w:ind w:left="11712" w:hanging="1800"/>
      </w:pPr>
      <w:rPr/>
    </w:lvl>
    <w:lvl w:ilvl="8">
      <w:start w:val="1"/>
      <w:numFmt w:val="decimal"/>
      <w:lvlText w:val="%1.%2.%3.%4.%5.%6.%7.%8.%9."/>
      <w:lvlJc w:val="left"/>
      <w:pPr>
        <w:tabs>
          <w:tab w:val="num" w:pos="0"/>
        </w:tabs>
        <w:ind w:left="13488" w:hanging="21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w="http://schemas.openxmlformats.org/wordprocessingml/2006/main">
  <w:zoom w:percent="110"/>
  <w:revisionView w:insDel="0" w:formatting="0"/>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51be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
    <w:qFormat/>
    <w:rsid w:val="00251bec"/>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251bec"/>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251bec"/>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unhideWhenUsed/>
    <w:qFormat/>
    <w:rPr/>
  </w:style>
  <w:style w:type="character" w:styleId="1" w:customStyle="1">
    <w:name w:val="Заголовок 1 Знак"/>
    <w:basedOn w:val="DefaultParagraphFont"/>
    <w:qFormat/>
    <w:rsid w:val="00251bec"/>
    <w:rPr>
      <w:rFonts w:ascii="Cambria" w:hAnsi="Cambria" w:eastAsia="Times New Roman" w:cs="Times New Roman"/>
      <w:b/>
      <w:bCs/>
      <w:kern w:val="2"/>
      <w:sz w:val="32"/>
      <w:szCs w:val="32"/>
      <w:lang w:val="x-none" w:eastAsia="x-none"/>
    </w:rPr>
  </w:style>
  <w:style w:type="character" w:styleId="2" w:customStyle="1">
    <w:name w:val="Заголовок 2 Знак"/>
    <w:basedOn w:val="DefaultParagraphFont"/>
    <w:qFormat/>
    <w:rsid w:val="00251bec"/>
    <w:rPr>
      <w:rFonts w:ascii="Cambria" w:hAnsi="Cambria" w:eastAsia="Times New Roman" w:cs="Times New Roman"/>
      <w:b/>
      <w:bCs/>
      <w:i/>
      <w:iCs/>
      <w:sz w:val="28"/>
      <w:szCs w:val="28"/>
      <w:lang w:val="x-none" w:eastAsia="x-none"/>
    </w:rPr>
  </w:style>
  <w:style w:type="character" w:styleId="3" w:customStyle="1">
    <w:name w:val="Заголовок 3 Знак"/>
    <w:basedOn w:val="DefaultParagraphFont"/>
    <w:uiPriority w:val="9"/>
    <w:qFormat/>
    <w:rsid w:val="00251bec"/>
    <w:rPr>
      <w:rFonts w:ascii="Times New Roman" w:hAnsi="Times New Roman" w:eastAsia="Times New Roman" w:cs="Times New Roman"/>
      <w:b/>
      <w:sz w:val="28"/>
      <w:szCs w:val="20"/>
      <w:lang w:val="x-none" w:eastAsia="x-none"/>
    </w:rPr>
  </w:style>
  <w:style w:type="character" w:styleId="31" w:customStyle="1">
    <w:name w:val="Основной текст 3 Знак"/>
    <w:basedOn w:val="DefaultParagraphFont"/>
    <w:link w:val="BodyText3"/>
    <w:qFormat/>
    <w:rsid w:val="00251bec"/>
    <w:rPr>
      <w:rFonts w:ascii="Times New Roman" w:hAnsi="Times New Roman" w:eastAsia="Times New Roman" w:cs="Times New Roman"/>
      <w:color w:val="0000FF"/>
      <w:sz w:val="24"/>
      <w:szCs w:val="24"/>
      <w:lang w:val="x-none"/>
    </w:rPr>
  </w:style>
  <w:style w:type="character" w:styleId="Style6" w:customStyle="1">
    <w:name w:val="Верхний колонтитул Знак"/>
    <w:basedOn w:val="DefaultParagraphFont"/>
    <w:qFormat/>
    <w:rsid w:val="00251bec"/>
    <w:rPr>
      <w:rFonts w:ascii="Times New Roman" w:hAnsi="Times New Roman" w:eastAsia="Times New Roman" w:cs="Times New Roman"/>
      <w:sz w:val="28"/>
      <w:szCs w:val="28"/>
      <w:lang w:eastAsia="ru-RU"/>
    </w:rPr>
  </w:style>
  <w:style w:type="character" w:styleId="Style7" w:customStyle="1">
    <w:name w:val="Основной текст Знак"/>
    <w:basedOn w:val="DefaultParagraphFont"/>
    <w:qFormat/>
    <w:rsid w:val="00251bec"/>
    <w:rPr>
      <w:rFonts w:ascii="Times New Roman" w:hAnsi="Times New Roman" w:eastAsia="Times New Roman" w:cs="Times New Roman"/>
      <w:sz w:val="28"/>
      <w:szCs w:val="28"/>
      <w:lang w:eastAsia="ru-RU"/>
    </w:rPr>
  </w:style>
  <w:style w:type="character" w:styleId="21" w:customStyle="1">
    <w:name w:val="Основной текст 2 Знак"/>
    <w:basedOn w:val="DefaultParagraphFont"/>
    <w:link w:val="BodyText2"/>
    <w:qFormat/>
    <w:rsid w:val="00251bec"/>
    <w:rPr>
      <w:rFonts w:ascii="Times New Roman" w:hAnsi="Times New Roman" w:eastAsia="Times New Roman" w:cs="Times New Roman"/>
      <w:sz w:val="20"/>
      <w:szCs w:val="20"/>
      <w:lang w:eastAsia="ru-RU"/>
    </w:rPr>
  </w:style>
  <w:style w:type="character" w:styleId="Style8" w:customStyle="1">
    <w:name w:val="Текст сноски Знак"/>
    <w:basedOn w:val="DefaultParagraphFont"/>
    <w:qFormat/>
    <w:rsid w:val="00251bec"/>
    <w:rPr>
      <w:rFonts w:ascii="Times New Roman" w:hAnsi="Times New Roman" w:eastAsia="Times New Roman" w:cs="Times New Roman"/>
      <w:sz w:val="20"/>
      <w:szCs w:val="20"/>
      <w:lang w:eastAsia="ru-RU"/>
    </w:rPr>
  </w:style>
  <w:style w:type="character" w:styleId="Style9">
    <w:name w:val="Символ сноски"/>
    <w:qFormat/>
    <w:rsid w:val="00251bec"/>
    <w:rPr>
      <w:vertAlign w:val="superscript"/>
    </w:rPr>
  </w:style>
  <w:style w:type="character" w:styleId="FootnoteReference">
    <w:name w:val="Footnote Reference"/>
    <w:rPr>
      <w:vertAlign w:val="superscript"/>
    </w:rPr>
  </w:style>
  <w:style w:type="character" w:styleId="32" w:customStyle="1">
    <w:name w:val="Основной текст с отступом 3 Знак"/>
    <w:basedOn w:val="DefaultParagraphFont"/>
    <w:link w:val="BodyTextIndent3"/>
    <w:qFormat/>
    <w:rsid w:val="00251bec"/>
    <w:rPr>
      <w:rFonts w:ascii="Times New Roman" w:hAnsi="Times New Roman" w:eastAsia="Times New Roman" w:cs="Times New Roman"/>
      <w:sz w:val="16"/>
      <w:szCs w:val="16"/>
      <w:lang w:eastAsia="ru-RU"/>
    </w:rPr>
  </w:style>
  <w:style w:type="character" w:styleId="33" w:customStyle="1">
    <w:name w:val="3. Подпункт Знак"/>
    <w:link w:val="34"/>
    <w:qFormat/>
    <w:rsid w:val="00251bec"/>
    <w:rPr>
      <w:rFonts w:ascii="Times New Roman" w:hAnsi="Times New Roman" w:eastAsia="Times New Roman" w:cs="Times New Roman"/>
      <w:b/>
      <w:bCs/>
      <w:sz w:val="24"/>
      <w:szCs w:val="24"/>
      <w:lang w:val="x-none" w:eastAsia="x-none"/>
    </w:rPr>
  </w:style>
  <w:style w:type="character" w:styleId="Style10" w:customStyle="1">
    <w:name w:val="Текст выноски Знак"/>
    <w:basedOn w:val="DefaultParagraphFont"/>
    <w:link w:val="BalloonText"/>
    <w:qFormat/>
    <w:rsid w:val="00251bec"/>
    <w:rPr>
      <w:rFonts w:ascii="Tahoma" w:hAnsi="Tahoma" w:eastAsia="Times New Roman" w:cs="Times New Roman"/>
      <w:sz w:val="16"/>
      <w:szCs w:val="16"/>
      <w:lang w:val="x-none" w:eastAsia="x-none"/>
    </w:rPr>
  </w:style>
  <w:style w:type="character" w:styleId="11" w:customStyle="1">
    <w:name w:val="1. Статья Знак"/>
    <w:link w:val="12"/>
    <w:qFormat/>
    <w:rsid w:val="00251bec"/>
    <w:rPr>
      <w:rFonts w:ascii="Times New Roman" w:hAnsi="Times New Roman" w:eastAsia="Times New Roman" w:cs="Times New Roman"/>
      <w:sz w:val="24"/>
      <w:szCs w:val="24"/>
      <w:lang w:val="x-none" w:eastAsia="x-none"/>
    </w:rPr>
  </w:style>
  <w:style w:type="character" w:styleId="4" w:customStyle="1">
    <w:name w:val="4. Отчерк Знак"/>
    <w:link w:val="41"/>
    <w:qFormat/>
    <w:rsid w:val="00251bec"/>
    <w:rPr>
      <w:rFonts w:ascii="Times New Roman" w:hAnsi="Times New Roman" w:eastAsia="Times New Roman" w:cs="Times New Roman"/>
      <w:sz w:val="24"/>
      <w:szCs w:val="24"/>
      <w:lang w:val="x-none" w:eastAsia="x-none"/>
    </w:rPr>
  </w:style>
  <w:style w:type="character" w:styleId="Annotationreference">
    <w:name w:val="annotation reference"/>
    <w:qFormat/>
    <w:rsid w:val="00251bec"/>
    <w:rPr>
      <w:sz w:val="16"/>
      <w:szCs w:val="16"/>
    </w:rPr>
  </w:style>
  <w:style w:type="character" w:styleId="Style11" w:customStyle="1">
    <w:name w:val="Текст примечания Знак"/>
    <w:basedOn w:val="DefaultParagraphFont"/>
    <w:link w:val="Annotationtext"/>
    <w:qFormat/>
    <w:rsid w:val="00251bec"/>
    <w:rPr>
      <w:rFonts w:ascii="Times New Roman" w:hAnsi="Times New Roman" w:eastAsia="Times New Roman" w:cs="Times New Roman"/>
      <w:sz w:val="20"/>
      <w:szCs w:val="20"/>
      <w:lang w:val="x-none" w:eastAsia="x-none"/>
    </w:rPr>
  </w:style>
  <w:style w:type="character" w:styleId="Style12" w:customStyle="1">
    <w:name w:val="Тема примечания Знак"/>
    <w:basedOn w:val="Style11"/>
    <w:link w:val="Annotationsubject"/>
    <w:qFormat/>
    <w:rsid w:val="00251bec"/>
    <w:rPr>
      <w:rFonts w:ascii="Times New Roman" w:hAnsi="Times New Roman" w:eastAsia="Times New Roman" w:cs="Times New Roman"/>
      <w:b/>
      <w:bCs/>
      <w:sz w:val="20"/>
      <w:szCs w:val="20"/>
      <w:lang w:val="x-none" w:eastAsia="x-none"/>
    </w:rPr>
  </w:style>
  <w:style w:type="character" w:styleId="Style13" w:customStyle="1">
    <w:name w:val="Нижний колонтитул Знак"/>
    <w:basedOn w:val="DefaultParagraphFont"/>
    <w:uiPriority w:val="99"/>
    <w:qFormat/>
    <w:rsid w:val="00251bec"/>
    <w:rPr>
      <w:rFonts w:ascii="Times New Roman" w:hAnsi="Times New Roman" w:eastAsia="Times New Roman" w:cs="Times New Roman"/>
      <w:sz w:val="28"/>
      <w:szCs w:val="28"/>
      <w:lang w:val="x-none" w:eastAsia="x-none"/>
    </w:rPr>
  </w:style>
  <w:style w:type="character" w:styleId="Style14" w:customStyle="1">
    <w:name w:val="Заголовок Знак"/>
    <w:basedOn w:val="DefaultParagraphFont"/>
    <w:qFormat/>
    <w:rsid w:val="00251bec"/>
    <w:rPr>
      <w:rFonts w:ascii="Times New Roman" w:hAnsi="Times New Roman" w:eastAsia="Times New Roman" w:cs="Times New Roman"/>
      <w:b/>
      <w:shd w:fill="FFFFFF" w:val="clear"/>
      <w:lang w:val="x-none" w:eastAsia="x-none"/>
    </w:rPr>
  </w:style>
  <w:style w:type="character" w:styleId="Style15" w:customStyle="1">
    <w:name w:val="Основной текст с отступом Знак"/>
    <w:basedOn w:val="DefaultParagraphFont"/>
    <w:qFormat/>
    <w:rsid w:val="00251bec"/>
    <w:rPr>
      <w:rFonts w:ascii="Times New Roman" w:hAnsi="Times New Roman" w:eastAsia="Times New Roman" w:cs="Times New Roman"/>
      <w:sz w:val="28"/>
      <w:szCs w:val="28"/>
      <w:lang w:val="x-none" w:eastAsia="x-none"/>
    </w:rPr>
  </w:style>
  <w:style w:type="character" w:styleId="FontStyle16" w:customStyle="1">
    <w:name w:val="Font Style16"/>
    <w:qFormat/>
    <w:rsid w:val="00251bec"/>
    <w:rPr>
      <w:rFonts w:ascii="Times New Roman" w:hAnsi="Times New Roman" w:cs="Times New Roman"/>
      <w:sz w:val="24"/>
      <w:szCs w:val="24"/>
    </w:rPr>
  </w:style>
  <w:style w:type="character" w:styleId="Hyperlink">
    <w:name w:val="Hyperlink"/>
    <w:uiPriority w:val="99"/>
    <w:unhideWhenUsed/>
    <w:rsid w:val="00251bec"/>
    <w:rPr>
      <w:color w:val="0000FF"/>
      <w:u w:val="single"/>
    </w:rPr>
  </w:style>
  <w:style w:type="character" w:styleId="Style16" w:customStyle="1">
    <w:name w:val="Текст концевой сноски Знак"/>
    <w:basedOn w:val="DefaultParagraphFont"/>
    <w:uiPriority w:val="99"/>
    <w:semiHidden/>
    <w:qFormat/>
    <w:rsid w:val="00251bec"/>
    <w:rPr>
      <w:rFonts w:ascii="Times New Roman" w:hAnsi="Times New Roman" w:eastAsia="Times New Roman" w:cs="Times New Roman"/>
      <w:sz w:val="20"/>
      <w:szCs w:val="20"/>
      <w:lang w:val="x-none" w:eastAsia="x-none"/>
    </w:rPr>
  </w:style>
  <w:style w:type="character" w:styleId="Style17">
    <w:name w:val="Символ концевой сноски"/>
    <w:uiPriority w:val="99"/>
    <w:semiHidden/>
    <w:unhideWhenUsed/>
    <w:qFormat/>
    <w:rsid w:val="00251bec"/>
    <w:rPr>
      <w:vertAlign w:val="superscript"/>
    </w:rPr>
  </w:style>
  <w:style w:type="character" w:styleId="EndnoteReference">
    <w:name w:val="Endnote Reference"/>
    <w:rPr>
      <w:vertAlign w:val="superscript"/>
    </w:rPr>
  </w:style>
  <w:style w:type="character" w:styleId="Style18" w:customStyle="1">
    <w:name w:val="Абзац списка Знак"/>
    <w:link w:val="ListParagraph"/>
    <w:uiPriority w:val="34"/>
    <w:qFormat/>
    <w:locked/>
    <w:rsid w:val="00487c75"/>
    <w:rPr>
      <w:rFonts w:ascii="Times New Roman" w:hAnsi="Times New Roman" w:eastAsia="Times New Roman" w:cs="Times New Roman"/>
      <w:sz w:val="24"/>
      <w:szCs w:val="24"/>
      <w:lang w:eastAsia="ru-RU"/>
    </w:rPr>
  </w:style>
  <w:style w:type="character" w:styleId="LineNumber">
    <w:name w:val="Line Number"/>
    <w:rPr/>
  </w:style>
  <w:style w:type="character" w:styleId="FollowedHyperlink">
    <w:name w:val="FollowedHyperlink"/>
    <w:rPr>
      <w:color w:val="800000"/>
      <w:u w:val="single"/>
    </w:rPr>
  </w:style>
  <w:style w:type="paragraph" w:styleId="Style19">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7"/>
    <w:rsid w:val="00251bec"/>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0">
    <w:name w:val="Указатель"/>
    <w:basedOn w:val="Normal"/>
    <w:qFormat/>
    <w:pPr>
      <w:suppressLineNumbers/>
    </w:pPr>
    <w:rPr/>
  </w:style>
  <w:style w:type="paragraph" w:styleId="BodyText3">
    <w:name w:val="Body Text 3"/>
    <w:basedOn w:val="Normal"/>
    <w:link w:val="31"/>
    <w:qFormat/>
    <w:rsid w:val="00251bec"/>
    <w:pPr>
      <w:spacing w:lineRule="auto" w:line="240"/>
      <w:ind w:hanging="0"/>
    </w:pPr>
    <w:rPr>
      <w:color w:val="0000FF"/>
      <w:sz w:val="24"/>
      <w:szCs w:val="24"/>
      <w:lang w:val="x-none" w:eastAsia="en-US"/>
    </w:rPr>
  </w:style>
  <w:style w:type="paragraph" w:styleId="Style21">
    <w:name w:val="Колонтитул"/>
    <w:basedOn w:val="Normal"/>
    <w:qFormat/>
    <w:pPr/>
    <w:rPr/>
  </w:style>
  <w:style w:type="paragraph" w:styleId="Header">
    <w:name w:val="Header"/>
    <w:basedOn w:val="Normal"/>
    <w:link w:val="Style6"/>
    <w:rsid w:val="00251bec"/>
    <w:pPr>
      <w:tabs>
        <w:tab w:val="clear" w:pos="709"/>
        <w:tab w:val="center" w:pos="4677" w:leader="none"/>
        <w:tab w:val="right" w:pos="9355" w:leader="none"/>
      </w:tabs>
    </w:pPr>
    <w:rPr/>
  </w:style>
  <w:style w:type="paragraph" w:styleId="Style110" w:customStyle="1">
    <w:name w:val="Style1"/>
    <w:basedOn w:val="Normal"/>
    <w:autoRedefine/>
    <w:qFormat/>
    <w:rsid w:val="00251bec"/>
    <w:pPr>
      <w:spacing w:lineRule="auto" w:line="240" w:before="240" w:after="0"/>
      <w:ind w:hanging="0"/>
      <w:jc w:val="left"/>
    </w:pPr>
    <w:rPr>
      <w:b/>
      <w:sz w:val="22"/>
      <w:szCs w:val="20"/>
    </w:rPr>
  </w:style>
  <w:style w:type="paragraph" w:styleId="BodyText2">
    <w:name w:val="Body Text 2"/>
    <w:basedOn w:val="Normal"/>
    <w:link w:val="21"/>
    <w:qFormat/>
    <w:rsid w:val="00251bec"/>
    <w:pPr>
      <w:widowControl w:val="false"/>
      <w:spacing w:lineRule="auto" w:line="480" w:before="0" w:after="120"/>
      <w:ind w:hanging="0"/>
      <w:jc w:val="left"/>
    </w:pPr>
    <w:rPr>
      <w:sz w:val="20"/>
      <w:szCs w:val="20"/>
    </w:rPr>
  </w:style>
  <w:style w:type="paragraph" w:styleId="Style22" w:customStyle="1">
    <w:name w:val="Знак"/>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8"/>
    <w:uiPriority w:val="99"/>
    <w:rsid w:val="00251bec"/>
    <w:pPr>
      <w:spacing w:lineRule="auto" w:line="240"/>
      <w:ind w:hanging="0"/>
      <w:jc w:val="left"/>
    </w:pPr>
    <w:rPr>
      <w:sz w:val="20"/>
      <w:szCs w:val="20"/>
    </w:rPr>
  </w:style>
  <w:style w:type="paragraph" w:styleId="Style23" w:customStyle="1">
    <w:name w:val="Знак Знак Знак Знак Знак Знак Знак"/>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Style24" w:customStyle="1">
    <w:name w:val="Знак Знак Знак Знак Знак Знак Знак Знак Знак"/>
    <w:basedOn w:val="Normal"/>
    <w:qFormat/>
    <w:rsid w:val="00251bec"/>
    <w:pPr>
      <w:spacing w:lineRule="exact" w:line="240" w:before="0" w:after="160"/>
      <w:ind w:hanging="0"/>
    </w:pPr>
    <w:rPr>
      <w:rFonts w:ascii="Verdana" w:hAnsi="Verdana"/>
      <w:sz w:val="22"/>
      <w:szCs w:val="20"/>
      <w:lang w:val="en-US" w:eastAsia="en-US"/>
    </w:rPr>
  </w:style>
  <w:style w:type="paragraph" w:styleId="Style25" w:customStyle="1">
    <w:name w:val="Пункт договора"/>
    <w:basedOn w:val="Normal"/>
    <w:qFormat/>
    <w:rsid w:val="00251bec"/>
    <w:pPr>
      <w:widowControl w:val="false"/>
      <w:spacing w:lineRule="auto" w:line="240"/>
      <w:ind w:hanging="0"/>
    </w:pPr>
    <w:rPr>
      <w:rFonts w:ascii="Arial" w:hAnsi="Arial"/>
      <w:sz w:val="20"/>
      <w:szCs w:val="20"/>
    </w:rPr>
  </w:style>
  <w:style w:type="paragraph" w:styleId="Style26" w:customStyle="1">
    <w:name w:val="Подпункт договора"/>
    <w:basedOn w:val="Normal"/>
    <w:qFormat/>
    <w:rsid w:val="00251bec"/>
    <w:pPr>
      <w:tabs>
        <w:tab w:val="clear" w:pos="709"/>
        <w:tab w:val="left" w:pos="360" w:leader="none"/>
      </w:tabs>
      <w:spacing w:lineRule="auto" w:line="240"/>
      <w:ind w:hanging="0"/>
    </w:pPr>
    <w:rPr>
      <w:rFonts w:ascii="Arial" w:hAnsi="Arial"/>
      <w:sz w:val="20"/>
      <w:szCs w:val="20"/>
    </w:rPr>
  </w:style>
  <w:style w:type="paragraph" w:styleId="BodyTextIndent3">
    <w:name w:val="Body Text Indent 3"/>
    <w:basedOn w:val="Normal"/>
    <w:link w:val="32"/>
    <w:qFormat/>
    <w:rsid w:val="00251bec"/>
    <w:pPr>
      <w:spacing w:before="0" w:after="120"/>
      <w:ind w:left="283" w:firstLine="567"/>
    </w:pPr>
    <w:rPr>
      <w:sz w:val="16"/>
      <w:szCs w:val="16"/>
    </w:rPr>
  </w:style>
  <w:style w:type="paragraph" w:styleId="ListParagraph">
    <w:name w:val="List Paragraph"/>
    <w:basedOn w:val="Normal"/>
    <w:link w:val="Style18"/>
    <w:uiPriority w:val="34"/>
    <w:qFormat/>
    <w:rsid w:val="00251bec"/>
    <w:pPr>
      <w:spacing w:lineRule="auto" w:line="240" w:before="0" w:after="0"/>
      <w:ind w:left="720" w:hanging="0"/>
      <w:contextualSpacing/>
      <w:jc w:val="left"/>
    </w:pPr>
    <w:rPr>
      <w:sz w:val="24"/>
      <w:szCs w:val="24"/>
    </w:rPr>
  </w:style>
  <w:style w:type="paragraph" w:styleId="12" w:customStyle="1">
    <w:name w:val="1. Статья"/>
    <w:basedOn w:val="Heading3"/>
    <w:link w:val="11"/>
    <w:qFormat/>
    <w:rsid w:val="00251bec"/>
    <w:pPr>
      <w:keepNext w:val="false"/>
      <w:widowControl w:val="false"/>
      <w:numPr>
        <w:ilvl w:val="0"/>
        <w:numId w:val="2"/>
      </w:numPr>
      <w:tabs>
        <w:tab w:val="clear" w:pos="709"/>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3" w:customStyle="1">
    <w:name w:val="2. Пункт"/>
    <w:basedOn w:val="Heading3"/>
    <w:qFormat/>
    <w:rsid w:val="00251bec"/>
    <w:pPr>
      <w:keepNext w:val="false"/>
      <w:widowControl w:val="false"/>
      <w:numPr>
        <w:ilvl w:val="1"/>
        <w:numId w:val="2"/>
      </w:numPr>
      <w:suppressAutoHyphens w:val="false"/>
      <w:overflowPunct w:val="false"/>
      <w:spacing w:before="0" w:after="0"/>
      <w:jc w:val="both"/>
      <w:textAlignment w:val="baseline"/>
    </w:pPr>
    <w:rPr>
      <w:b w:val="false"/>
      <w:sz w:val="24"/>
      <w:szCs w:val="24"/>
    </w:rPr>
  </w:style>
  <w:style w:type="paragraph" w:styleId="34" w:customStyle="1">
    <w:name w:val="3. Подпункт"/>
    <w:basedOn w:val="Heading3"/>
    <w:link w:val="33"/>
    <w:qFormat/>
    <w:rsid w:val="00251bec"/>
    <w:pPr>
      <w:keepNext w:val="false"/>
      <w:widowControl w:val="false"/>
      <w:numPr>
        <w:ilvl w:val="2"/>
        <w:numId w:val="2"/>
      </w:numPr>
      <w:tabs>
        <w:tab w:val="clear" w:pos="709"/>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251bec"/>
    <w:pPr>
      <w:widowControl/>
      <w:suppressAutoHyphens w:val="true"/>
      <w:bidi w:val="0"/>
      <w:spacing w:lineRule="auto" w:line="240"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link w:val="Style10"/>
    <w:qFormat/>
    <w:rsid w:val="00251bec"/>
    <w:pPr>
      <w:spacing w:lineRule="auto" w:line="240"/>
    </w:pPr>
    <w:rPr>
      <w:rFonts w:ascii="Tahoma" w:hAnsi="Tahoma"/>
      <w:sz w:val="16"/>
      <w:szCs w:val="16"/>
      <w:lang w:val="x-none" w:eastAsia="x-none"/>
    </w:rPr>
  </w:style>
  <w:style w:type="paragraph" w:styleId="41" w:customStyle="1">
    <w:name w:val="4. Отчерк"/>
    <w:basedOn w:val="Normal"/>
    <w:link w:val="4"/>
    <w:qFormat/>
    <w:rsid w:val="00251bec"/>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11"/>
    <w:qFormat/>
    <w:rsid w:val="00251bec"/>
    <w:pPr>
      <w:spacing w:lineRule="auto" w:line="240"/>
    </w:pPr>
    <w:rPr>
      <w:sz w:val="20"/>
      <w:szCs w:val="20"/>
      <w:lang w:val="x-none" w:eastAsia="x-none"/>
    </w:rPr>
  </w:style>
  <w:style w:type="paragraph" w:styleId="Annotationsubject">
    <w:name w:val="annotation subject"/>
    <w:basedOn w:val="Annotationtext"/>
    <w:next w:val="Annotationtext"/>
    <w:link w:val="Style12"/>
    <w:qFormat/>
    <w:rsid w:val="00251bec"/>
    <w:pPr/>
    <w:rPr>
      <w:b/>
      <w:bCs/>
    </w:rPr>
  </w:style>
  <w:style w:type="paragraph" w:styleId="Footer">
    <w:name w:val="Footer"/>
    <w:basedOn w:val="Normal"/>
    <w:link w:val="Style13"/>
    <w:uiPriority w:val="99"/>
    <w:rsid w:val="00251bec"/>
    <w:pPr>
      <w:tabs>
        <w:tab w:val="clear" w:pos="709"/>
        <w:tab w:val="center" w:pos="4677" w:leader="none"/>
        <w:tab w:val="right" w:pos="9355" w:leader="none"/>
      </w:tabs>
      <w:spacing w:lineRule="auto" w:line="240"/>
    </w:pPr>
    <w:rPr>
      <w:lang w:val="x-none" w:eastAsia="x-none"/>
    </w:rPr>
  </w:style>
  <w:style w:type="paragraph" w:styleId="Revision">
    <w:name w:val="Revision"/>
    <w:uiPriority w:val="99"/>
    <w:semiHidden/>
    <w:qFormat/>
    <w:rsid w:val="00251bec"/>
    <w:pPr>
      <w:widowControl/>
      <w:suppressAutoHyphens w:val="true"/>
      <w:bidi w:val="0"/>
      <w:spacing w:lineRule="auto" w:line="240" w:before="0" w:after="0"/>
      <w:jc w:val="left"/>
    </w:pPr>
    <w:rPr>
      <w:rFonts w:ascii="Times New Roman" w:hAnsi="Times New Roman" w:eastAsia="Times New Roman" w:cs="Times New Roman"/>
      <w:color w:val="auto"/>
      <w:kern w:val="0"/>
      <w:sz w:val="28"/>
      <w:szCs w:val="28"/>
      <w:lang w:val="ru-RU" w:eastAsia="ru-RU" w:bidi="ar-SA"/>
    </w:rPr>
  </w:style>
  <w:style w:type="paragraph" w:styleId="Title" w:customStyle="1">
    <w:name w:val="Title"/>
    <w:basedOn w:val="Normal"/>
    <w:link w:val="Style14"/>
    <w:qFormat/>
    <w:rsid w:val="00251bec"/>
    <w:pPr>
      <w:widowControl w:val="false"/>
      <w:overflowPunct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5"/>
    <w:rsid w:val="00251bec"/>
    <w:pPr>
      <w:spacing w:before="0" w:after="120"/>
      <w:ind w:left="283" w:firstLine="567"/>
    </w:pPr>
    <w:rPr>
      <w:lang w:val="x-none" w:eastAsia="x-none"/>
    </w:rPr>
  </w:style>
  <w:style w:type="paragraph" w:styleId="333" w:customStyle="1">
    <w:name w:val="Пункт 3.3.3"/>
    <w:basedOn w:val="Normal"/>
    <w:qFormat/>
    <w:rsid w:val="00251bec"/>
    <w:pPr>
      <w:keepNext w:val="true"/>
      <w:keepLines/>
      <w:widowControl w:val="false"/>
      <w:tabs>
        <w:tab w:val="clear" w:pos="709"/>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Caption1">
    <w:name w:val="caption1"/>
    <w:basedOn w:val="Normal"/>
    <w:next w:val="Normal"/>
    <w:qFormat/>
    <w:rsid w:val="00251bec"/>
    <w:pPr>
      <w:widowControl w:val="false"/>
      <w:overflowPunct w:val="false"/>
      <w:spacing w:lineRule="auto" w:line="240" w:before="120" w:after="120"/>
      <w:ind w:hanging="0"/>
      <w:textAlignment w:val="baseline"/>
    </w:pPr>
    <w:rPr>
      <w:b/>
      <w:bCs/>
      <w:sz w:val="24"/>
      <w:szCs w:val="24"/>
    </w:rPr>
  </w:style>
  <w:style w:type="paragraph" w:styleId="13" w:customStyle="1">
    <w:name w:val="Знак1"/>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251bec"/>
    <w:pPr>
      <w:keepNext w:val="true"/>
      <w:keepLines/>
      <w:numPr>
        <w:ilvl w:val="0"/>
        <w:numId w:val="5"/>
      </w:numPr>
      <w:tabs>
        <w:tab w:val="clear" w:pos="709"/>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251bec"/>
    <w:pPr>
      <w:numPr>
        <w:ilvl w:val="1"/>
        <w:numId w:val="5"/>
      </w:numPr>
    </w:pPr>
    <w:rPr/>
  </w:style>
  <w:style w:type="paragraph" w:styleId="-2" w:customStyle="1">
    <w:name w:val="Контракт-подпункт"/>
    <w:basedOn w:val="Normal"/>
    <w:qFormat/>
    <w:rsid w:val="00251bec"/>
    <w:pPr>
      <w:numPr>
        <w:ilvl w:val="2"/>
        <w:numId w:val="5"/>
      </w:numPr>
    </w:pPr>
    <w:rPr/>
  </w:style>
  <w:style w:type="paragraph" w:styleId="-3" w:customStyle="1">
    <w:name w:val="Контракт-подподпункт"/>
    <w:basedOn w:val="Normal"/>
    <w:qFormat/>
    <w:rsid w:val="00251bec"/>
    <w:pPr>
      <w:numPr>
        <w:ilvl w:val="3"/>
        <w:numId w:val="5"/>
      </w:numPr>
    </w:pPr>
    <w:rPr/>
  </w:style>
  <w:style w:type="paragraph" w:styleId="EndnoteText">
    <w:name w:val="Endnote Text"/>
    <w:basedOn w:val="Normal"/>
    <w:link w:val="Style16"/>
    <w:uiPriority w:val="99"/>
    <w:semiHidden/>
    <w:unhideWhenUsed/>
    <w:rsid w:val="00251bec"/>
    <w:pPr/>
    <w:rPr>
      <w:sz w:val="20"/>
      <w:szCs w:val="20"/>
      <w:lang w:val="x-none" w:eastAsia="x-none"/>
    </w:rPr>
  </w:style>
  <w:style w:type="paragraph" w:styleId="Style27">
    <w:name w:val="Содержимое врезки"/>
    <w:basedOn w:val="Normal"/>
    <w:qFormat/>
    <w:pPr/>
    <w:rPr/>
  </w:style>
  <w:style w:type="paragraph" w:styleId="ConsPlusNormal">
    <w:name w:val="ConsPlusNormal"/>
    <w:qFormat/>
    <w:pPr>
      <w:widowControl w:val="false"/>
      <w:suppressAutoHyphens w:val="false"/>
      <w:bidi w:val="0"/>
      <w:spacing w:before="0" w:after="0"/>
      <w:jc w:val="left"/>
    </w:pPr>
    <w:rPr>
      <w:rFonts w:ascii="Calibri" w:hAnsi="Calibri" w:eastAsia="Times New Roman" w:cs="Calibri" w:asciiTheme="minorHAnsi" w:hAnsiTheme="minorHAnsi"/>
      <w:color w:val="auto"/>
      <w:kern w:val="0"/>
      <w:sz w:val="22"/>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b">
    <w:name w:val="Table Grid"/>
    <w:basedOn w:val="a1"/>
    <w:rsid w:val="00251bec"/>
    <w:pPr>
      <w:spacing w:after="0" w:line="360" w:lineRule="auto"/>
      <w:jc w:val="both"/>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header" Target="header3.xml"/><Relationship Id="rId10" Type="http://schemas.openxmlformats.org/officeDocument/2006/relationships/header" Target="header4.xml"/><Relationship Id="rId11" Type="http://schemas.openxmlformats.org/officeDocument/2006/relationships/footer" Target="footer3.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hyperlink" Target="http://www.cbr.ru/" TargetMode="External"/><Relationship Id="rId15" Type="http://schemas.openxmlformats.org/officeDocument/2006/relationships/hyperlink" Target="http://www.cbr.ru/" TargetMode="External"/><Relationship Id="rId16" Type="http://schemas.openxmlformats.org/officeDocument/2006/relationships/image" Target="media/image1.png"/><Relationship Id="rId17" Type="http://schemas.openxmlformats.org/officeDocument/2006/relationships/image" Target="media/image2.wmf"/><Relationship Id="rId18" Type="http://schemas.openxmlformats.org/officeDocument/2006/relationships/image" Target="media/image3.wmf"/><Relationship Id="rId19" Type="http://schemas.openxmlformats.org/officeDocument/2006/relationships/image" Target="media/image4.wmf"/><Relationship Id="rId20" Type="http://schemas.openxmlformats.org/officeDocument/2006/relationships/image" Target="media/image5.wmf"/><Relationship Id="rId21" Type="http://schemas.openxmlformats.org/officeDocument/2006/relationships/image" Target="media/image6.wmf"/><Relationship Id="rId22" Type="http://schemas.openxmlformats.org/officeDocument/2006/relationships/image" Target="media/image7.wmf"/><Relationship Id="rId23" Type="http://schemas.openxmlformats.org/officeDocument/2006/relationships/image" Target="media/image8.wmf"/><Relationship Id="rId24" Type="http://schemas.openxmlformats.org/officeDocument/2006/relationships/image" Target="media/image9.wmf"/><Relationship Id="rId25" Type="http://schemas.openxmlformats.org/officeDocument/2006/relationships/image" Target="media/image10.wmf"/><Relationship Id="rId26" Type="http://schemas.openxmlformats.org/officeDocument/2006/relationships/image" Target="media/image11.wmf"/><Relationship Id="rId27" Type="http://schemas.openxmlformats.org/officeDocument/2006/relationships/image" Target="media/image12.wmf"/><Relationship Id="rId28" Type="http://schemas.openxmlformats.org/officeDocument/2006/relationships/image" Target="media/image13.wmf"/><Relationship Id="rId29" Type="http://schemas.openxmlformats.org/officeDocument/2006/relationships/image" Target="media/image14.wmf"/><Relationship Id="rId30" Type="http://schemas.openxmlformats.org/officeDocument/2006/relationships/image" Target="media/image15.wmf"/><Relationship Id="rId31" Type="http://schemas.openxmlformats.org/officeDocument/2006/relationships/image" Target="media/image16.wmf"/><Relationship Id="rId32" Type="http://schemas.openxmlformats.org/officeDocument/2006/relationships/image" Target="media/image17.wmf"/><Relationship Id="rId33" Type="http://schemas.openxmlformats.org/officeDocument/2006/relationships/image" Target="media/image18.wmf"/><Relationship Id="rId34" Type="http://schemas.openxmlformats.org/officeDocument/2006/relationships/image" Target="media/image19.wmf"/><Relationship Id="rId35" Type="http://schemas.openxmlformats.org/officeDocument/2006/relationships/image" Target="media/image20.wmf"/><Relationship Id="rId36" Type="http://schemas.openxmlformats.org/officeDocument/2006/relationships/image" Target="media/image21.wmf"/><Relationship Id="rId37" Type="http://schemas.openxmlformats.org/officeDocument/2006/relationships/image" Target="media/image22.wmf"/><Relationship Id="rId38" Type="http://schemas.openxmlformats.org/officeDocument/2006/relationships/image" Target="media/image21.wmf"/><Relationship Id="rId39" Type="http://schemas.openxmlformats.org/officeDocument/2006/relationships/image" Target="media/image22.wmf"/><Relationship Id="rId40" Type="http://schemas.openxmlformats.org/officeDocument/2006/relationships/footnotes" Target="footnotes.xml"/><Relationship Id="rId41" Type="http://schemas.openxmlformats.org/officeDocument/2006/relationships/numbering" Target="numbering.xml"/><Relationship Id="rId42" Type="http://schemas.openxmlformats.org/officeDocument/2006/relationships/fontTable" Target="fontTable.xml"/><Relationship Id="rId43" Type="http://schemas.openxmlformats.org/officeDocument/2006/relationships/settings" Target="settings.xml"/><Relationship Id="rId44" Type="http://schemas.openxmlformats.org/officeDocument/2006/relationships/theme" Target="theme/theme1.xml"/><Relationship Id="rId4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4B178-6188-41F7-9999-9CB296BF1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Application>AlterOffice/3.4.0.9$Linux_X86_64 LibreOffice_project/b8daf9e823b1a5463a2f48435ddc2e8696e7d4fc</Application>
  <AppVersion>15.0000</AppVersion>
  <Pages>55</Pages>
  <Words>20156</Words>
  <Characters>143814</Characters>
  <CharactersWithSpaces>155519</CharactersWithSpaces>
  <Paragraphs>1031</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2024-03-13T13:16:00Z</dcterms:created>
  <dc:creator>Тищенко Анастасия Владимировна</dc:creator>
  <dc:description/>
  <dc:language>ru-RU</dc:language>
  <cp:lastModifiedBy>Диана Исуфовна Аркелова</cp:lastModifiedBy>
  <cp:lastPrinted>2019-02-25T07:48:00Z</cp:lastPrinted>
  <dcterms:modified xsi:type="dcterms:W3CDTF">2026-09-08T15:04:38Z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file>